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727B" w14:textId="58893312" w:rsidR="008F1C1A" w:rsidRDefault="003234E9">
      <w:pPr>
        <w:jc w:val="both"/>
        <w:rPr>
          <w:rFonts w:ascii="ArialMT" w:hAnsi="ArialMT" w:cs="ArialMT"/>
          <w:b/>
          <w:bCs/>
          <w:color w:val="333333"/>
        </w:rPr>
      </w:pPr>
      <w:r w:rsidRPr="003234E9">
        <w:rPr>
          <w:rFonts w:ascii="ArialMT" w:hAnsi="ArialMT" w:cs="ArialMT"/>
          <w:b/>
          <w:bCs/>
          <w:color w:val="333333"/>
        </w:rPr>
        <w:t>Analisi e diffusione dei risultati relativi ai questionari sulla valutazione della qualità a.a. 202</w:t>
      </w:r>
      <w:r>
        <w:rPr>
          <w:rFonts w:ascii="ArialMT" w:hAnsi="ArialMT" w:cs="ArialMT"/>
          <w:b/>
          <w:bCs/>
          <w:color w:val="333333"/>
        </w:rPr>
        <w:t>1</w:t>
      </w:r>
      <w:r w:rsidRPr="003234E9">
        <w:rPr>
          <w:rFonts w:ascii="ArialMT" w:hAnsi="ArialMT" w:cs="ArialMT"/>
          <w:b/>
          <w:bCs/>
          <w:color w:val="333333"/>
        </w:rPr>
        <w:t>-</w:t>
      </w:r>
      <w:r>
        <w:rPr>
          <w:rFonts w:ascii="ArialMT" w:hAnsi="ArialMT" w:cs="ArialMT"/>
          <w:b/>
          <w:bCs/>
          <w:color w:val="333333"/>
        </w:rPr>
        <w:t>20</w:t>
      </w:r>
      <w:r w:rsidRPr="003234E9">
        <w:rPr>
          <w:rFonts w:ascii="ArialMT" w:hAnsi="ArialMT" w:cs="ArialMT"/>
          <w:b/>
          <w:bCs/>
          <w:color w:val="333333"/>
        </w:rPr>
        <w:t>2</w:t>
      </w:r>
      <w:r>
        <w:rPr>
          <w:rFonts w:ascii="ArialMT" w:hAnsi="ArialMT" w:cs="ArialMT"/>
          <w:b/>
          <w:bCs/>
          <w:color w:val="333333"/>
        </w:rPr>
        <w:t>2</w:t>
      </w:r>
      <w:r w:rsidRPr="003234E9">
        <w:rPr>
          <w:rFonts w:ascii="ArialMT" w:hAnsi="ArialMT" w:cs="ArialMT"/>
          <w:b/>
          <w:bCs/>
          <w:color w:val="333333"/>
        </w:rPr>
        <w:t xml:space="preserve"> BVM</w:t>
      </w:r>
    </w:p>
    <w:p w14:paraId="5CE167F6" w14:textId="77777777" w:rsidR="003234E9" w:rsidRDefault="003234E9">
      <w:pPr>
        <w:jc w:val="both"/>
        <w:rPr>
          <w:b/>
          <w:bCs/>
        </w:rPr>
      </w:pPr>
    </w:p>
    <w:p w14:paraId="066E5075" w14:textId="77777777" w:rsidR="00100B2A" w:rsidRDefault="00E923C9">
      <w:pPr>
        <w:jc w:val="both"/>
      </w:pPr>
      <w:r>
        <w:t>I dati relativi alla valutazione sulla qualità dell'attività didattica dei CdS sono stati elaborati dall'Ateneo, e forniti aggregati con stratificazione a dettaglio crescente, dal livello di Dipartimento, a quello di CdS, e infine per abbinamento univoco modulo-docente che lo eroga. Nel resoconto si individuano due gruppi di rispondenti, A e B: A è costituito dai frequentanti l'a.a. 2021-22 e B dai frequentanti di anni precedenti ma con il docente attuale. Nel periodo di osservazione (novembre 2021 a luglio 2022) sono stati compilati 319 questionari del gruppo A, e 30 del gruppo B.</w:t>
      </w:r>
    </w:p>
    <w:p w14:paraId="066E5076" w14:textId="77777777" w:rsidR="00100B2A" w:rsidRDefault="00100B2A">
      <w:pPr>
        <w:jc w:val="both"/>
      </w:pPr>
    </w:p>
    <w:p w14:paraId="066E5077" w14:textId="77777777" w:rsidR="00100B2A" w:rsidRDefault="00E923C9">
      <w:pPr>
        <w:jc w:val="both"/>
      </w:pPr>
      <w:r>
        <w:t>Di seguito sono descritti i risultati relativi ai questionari compilati dal primo gruppo (A) di studenti.</w:t>
      </w:r>
    </w:p>
    <w:p w14:paraId="066E5078" w14:textId="77777777" w:rsidR="00100B2A" w:rsidRDefault="00100B2A">
      <w:pPr>
        <w:jc w:val="both"/>
      </w:pPr>
    </w:p>
    <w:p w14:paraId="066E5079" w14:textId="77777777" w:rsidR="00100B2A" w:rsidRDefault="00E923C9">
      <w:pPr>
        <w:jc w:val="both"/>
      </w:pPr>
      <w:r>
        <w:t xml:space="preserve">Delle 16 domande rivolte agli studenti circa l’andamento complessivo del corso di studi, il gruppo A si è espresso in maniera più che positiva con giudizio molto buono (superiore a 3) per 16 domande su 16. </w:t>
      </w:r>
    </w:p>
    <w:p w14:paraId="066E507A" w14:textId="77777777" w:rsidR="00100B2A" w:rsidRDefault="00E923C9">
      <w:pPr>
        <w:jc w:val="both"/>
      </w:pPr>
      <w:r>
        <w:t>Per quanto riguarda le valutazioni medie riportate nelle singole domande, sono state tutte positive, con punteggi uguali o superiori a 3,1.</w:t>
      </w:r>
    </w:p>
    <w:p w14:paraId="066E507B" w14:textId="77777777" w:rsidR="00100B2A" w:rsidRDefault="00E923C9">
      <w:pPr>
        <w:jc w:val="both"/>
      </w:pPr>
      <w:r>
        <w:t>Nel complesso dei 319 giudizi, i punteggi sono risultati variabili: da 3,1 per il quesito B1 e 3,8 (punteggio massimo) per il quesito B10. Il risultato complessivo sull’insegnamento (BS2) è risultato essere 3,3.</w:t>
      </w:r>
    </w:p>
    <w:p w14:paraId="066E507C" w14:textId="77777777" w:rsidR="00100B2A" w:rsidRDefault="00E923C9">
      <w:pPr>
        <w:jc w:val="both"/>
      </w:pPr>
      <w:r>
        <w:t>Un giudizio particolarmente interessante è rappresentato da BS1 dove tutti (319) hanno dichiarato che gli argomenti trattati sono risultati interessanti (3,5/4).</w:t>
      </w:r>
    </w:p>
    <w:p w14:paraId="066E507D" w14:textId="77777777" w:rsidR="00100B2A" w:rsidRDefault="00E923C9">
      <w:pPr>
        <w:jc w:val="both"/>
      </w:pPr>
      <w:r>
        <w:t xml:space="preserve">Alle domande sulle attività didattiche integrative (B08) gli studenti hanno risposto esprimendo un giudizio pari a 3,5, in linea con quello del precedente anno accademico. </w:t>
      </w:r>
    </w:p>
    <w:p w14:paraId="066E507E" w14:textId="77777777" w:rsidR="00100B2A" w:rsidRDefault="00E923C9">
      <w:pPr>
        <w:jc w:val="both"/>
      </w:pPr>
      <w:r>
        <w:t>Un elevato giudizio è riscontrato anche per gli orari delle attività didattiche (B05): 3,7.</w:t>
      </w:r>
    </w:p>
    <w:p w14:paraId="066E507F" w14:textId="77777777" w:rsidR="00100B2A" w:rsidRDefault="00E923C9">
      <w:pPr>
        <w:jc w:val="both"/>
      </w:pPr>
      <w:r>
        <w:t>Seguono giudizi molto buoni anche per i quesiti relativi a B4, B5AF, B5AV, B9.</w:t>
      </w:r>
    </w:p>
    <w:p w14:paraId="066E5080" w14:textId="77777777" w:rsidR="00100B2A" w:rsidRDefault="00E923C9">
      <w:pPr>
        <w:jc w:val="both"/>
      </w:pPr>
      <w:r>
        <w:t>L’erogazione della didattica, erogata nel 2021/2022 sia in presenza (B5AF) che a distanza (B5AV) è stata giudicata favorevolmente dagli studenti con una valutazione pari a 3,6 e 3,5 rispettivamente. E’ degno di nota che solo il 51% degli intervistati ha risposto alla domanda sulla didattica a distanza.</w:t>
      </w:r>
    </w:p>
    <w:p w14:paraId="066E5081" w14:textId="77777777" w:rsidR="00100B2A" w:rsidRDefault="00E923C9">
      <w:pPr>
        <w:jc w:val="both"/>
      </w:pPr>
      <w:r>
        <w:t>Inoltre, un giudizio positivo è attribuito alla domanda B06 (Il docente stimola / motiva l’interesse verso la disciplina) che ha ricevuto un valore di 3,3.</w:t>
      </w:r>
    </w:p>
    <w:p w14:paraId="066E5082" w14:textId="77777777" w:rsidR="00100B2A" w:rsidRDefault="00E923C9">
      <w:pPr>
        <w:jc w:val="both"/>
      </w:pPr>
      <w:r>
        <w:t xml:space="preserve">Solo il 37% degli intervistati ha dato una risposta riguardo alla domanda relativa all’efficacia delle esercitazioni e delle lezioni fuori sede (BF1), esprimendo una soddisfazione pari a 3,5. </w:t>
      </w:r>
    </w:p>
    <w:p w14:paraId="066E5083" w14:textId="77777777" w:rsidR="00100B2A" w:rsidRDefault="00E923C9">
      <w:pPr>
        <w:jc w:val="both"/>
      </w:pPr>
      <w:r>
        <w:t>Le risposte sulla reperibilità del docente (B10) hanno raggiunto il punteggio di 3,8 (267 studenti).</w:t>
      </w:r>
    </w:p>
    <w:p w14:paraId="066E5084" w14:textId="77777777" w:rsidR="00100B2A" w:rsidRDefault="00100B2A">
      <w:pPr>
        <w:jc w:val="both"/>
      </w:pPr>
    </w:p>
    <w:p w14:paraId="066E5085" w14:textId="77777777" w:rsidR="00100B2A" w:rsidRDefault="00E923C9">
      <w:pPr>
        <w:jc w:val="both"/>
      </w:pPr>
      <w:r>
        <w:t xml:space="preserve">L’85% dei rispondenti del gruppo A ha dichiarato una frequenza alle lezioni superiori al 50%. Le motivazioni per una scarsa frequenza dei restanti studenti (15%) sono state: per motivi di lavoro (34 risposte), frequenza altri insegnamenti (7 risposte), frequenza poco utile (4 risposte), altri motivi non dichiarati (12 risposte). </w:t>
      </w:r>
    </w:p>
    <w:p w14:paraId="066E5086" w14:textId="77777777" w:rsidR="00100B2A" w:rsidRDefault="00100B2A">
      <w:pPr>
        <w:jc w:val="both"/>
      </w:pPr>
    </w:p>
    <w:p w14:paraId="066E5087" w14:textId="77777777" w:rsidR="00100B2A" w:rsidRDefault="00E923C9">
      <w:pPr>
        <w:jc w:val="both"/>
      </w:pPr>
      <w:r>
        <w:t>I suggerimenti forniti dagli studenti per il miglioramento della didattica, sono riportate un totale di 292 risposte. I suggerimenti superiori al 10% sono stati: di migliorare sono la qualità del materiale didattico (26%), seguito da fornire in anticipo il materiale didattico (20%), inserire prove di esame intermedie (13%), fornire conoscenze di base (12,3%).</w:t>
      </w:r>
    </w:p>
    <w:p w14:paraId="066E5088" w14:textId="77777777" w:rsidR="00100B2A" w:rsidRDefault="00E923C9">
      <w:pPr>
        <w:jc w:val="both"/>
      </w:pPr>
      <w:r>
        <w:t>Tutti i moduli di insegnamento (22) hanno ricevuto nel periodo di osservazione cinque o più valutazioni con un valore massimo di 29 giudizi, mentre solo 4 moduli hanno ricevuto il numero minimo di 5 valutazioni.</w:t>
      </w:r>
    </w:p>
    <w:p w14:paraId="066E5089" w14:textId="77777777" w:rsidR="00100B2A" w:rsidRDefault="00E923C9">
      <w:pPr>
        <w:jc w:val="both"/>
      </w:pPr>
      <w:r>
        <w:t xml:space="preserve">Gli studenti hanno espresso un giudizio complessivo sull’insegnamento (BS2) con un punteggio soddisfacente (range 3 – 3,8) per 19 moduli, mentre 3 insegnamenti hanno ricevuto un giudizio inferiore comunque positivo (2,7). </w:t>
      </w:r>
    </w:p>
    <w:p w14:paraId="066E508A" w14:textId="77777777" w:rsidR="00100B2A" w:rsidRDefault="00E923C9">
      <w:pPr>
        <w:jc w:val="both"/>
      </w:pPr>
      <w:r>
        <w:lastRenderedPageBreak/>
        <w:t>Le domande B5AF (erogazione in presenza) e B5AV (erogazione a distanza) hanno ottenuto giudizi molto positivi (valutazioni da 3 fino a 4) con un solo dato uguale a 2,8.</w:t>
      </w:r>
    </w:p>
    <w:p w14:paraId="066E508B" w14:textId="77777777" w:rsidR="00100B2A" w:rsidRDefault="00E923C9">
      <w:pPr>
        <w:jc w:val="both"/>
      </w:pPr>
      <w:r>
        <w:t>Le conoscenze preliminari (B1) risultano in generale buone per il successivo apprendimento degli insegnamenti, anche se per 8 insegnamenti la preparazione preliminare risulta appena sufficiente.</w:t>
      </w:r>
    </w:p>
    <w:p w14:paraId="066E508C" w14:textId="77777777" w:rsidR="00100B2A" w:rsidRDefault="00E923C9">
      <w:pPr>
        <w:jc w:val="both"/>
      </w:pPr>
      <w:r>
        <w:t>La maggior parte dei docenti risulta esporre in maniera chiara e sufficiente (B7), con il 60% con una valutazione superiore a 3,5.</w:t>
      </w:r>
    </w:p>
    <w:p w14:paraId="066E508D" w14:textId="77777777" w:rsidR="00100B2A" w:rsidRDefault="00E923C9">
      <w:pPr>
        <w:jc w:val="both"/>
      </w:pPr>
      <w:r>
        <w:t>Il giudizio è stato molto positivo sulla domanda B10 (reperibilità del docente per chiarimenti e spiegazioni) con un range 3,2- 4,0. I giudizi degli studenti sull’utilità delle attività didattiche integrative e sull’efficacia delle esercitazioni (B8 e BF1) sono sostanzialmente positivi con un’unica criticità che verrà discussa nelle commissioni di competenza.</w:t>
      </w:r>
    </w:p>
    <w:p w14:paraId="066E508E" w14:textId="77777777" w:rsidR="00100B2A" w:rsidRDefault="00100B2A">
      <w:pPr>
        <w:jc w:val="both"/>
      </w:pPr>
    </w:p>
    <w:sectPr w:rsidR="00100B2A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2A"/>
    <w:rsid w:val="00100B2A"/>
    <w:rsid w:val="00197577"/>
    <w:rsid w:val="0030022B"/>
    <w:rsid w:val="003234E9"/>
    <w:rsid w:val="004250C2"/>
    <w:rsid w:val="004416F5"/>
    <w:rsid w:val="0048404B"/>
    <w:rsid w:val="004919FE"/>
    <w:rsid w:val="004E4A06"/>
    <w:rsid w:val="005A331D"/>
    <w:rsid w:val="008F1C1A"/>
    <w:rsid w:val="009D45D5"/>
    <w:rsid w:val="009E114E"/>
    <w:rsid w:val="00A16C8D"/>
    <w:rsid w:val="00AB2953"/>
    <w:rsid w:val="00E923C9"/>
    <w:rsid w:val="00F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5071"/>
  <w15:docId w15:val="{7750B0B7-D1B7-455B-BC7E-D02A080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E1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67B7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C07C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C07CF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C07CF"/>
    <w:rPr>
      <w:b/>
      <w:bCs/>
      <w:sz w:val="20"/>
      <w:szCs w:val="20"/>
    </w:rPr>
  </w:style>
  <w:style w:type="character" w:customStyle="1" w:styleId="InternetLink">
    <w:name w:val="Internet Link"/>
    <w:basedOn w:val="Carpredefinitoparagrafo"/>
    <w:uiPriority w:val="99"/>
    <w:unhideWhenUsed/>
    <w:rsid w:val="003A5D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A5D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qFormat/>
    <w:rsid w:val="00CD4E1F"/>
  </w:style>
  <w:style w:type="character" w:customStyle="1" w:styleId="ListLabel1">
    <w:name w:val="ListLabel 1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Revisione">
    <w:name w:val="Revision"/>
    <w:uiPriority w:val="99"/>
    <w:semiHidden/>
    <w:qFormat/>
    <w:rsid w:val="00467B7C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67B7C"/>
    <w:rPr>
      <w:rFonts w:ascii="Segoe UI" w:eastAsiaTheme="minorHAnsi" w:hAnsi="Segoe UI" w:cs="Segoe UI"/>
      <w:sz w:val="18"/>
      <w:szCs w:val="18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C07C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C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FORZAN</dc:creator>
  <dc:description/>
  <cp:lastModifiedBy>Monica Agnolucci</cp:lastModifiedBy>
  <cp:revision>49</cp:revision>
  <cp:lastPrinted>2021-09-06T13:46:00Z</cp:lastPrinted>
  <dcterms:created xsi:type="dcterms:W3CDTF">2021-09-06T13:37:00Z</dcterms:created>
  <dcterms:modified xsi:type="dcterms:W3CDTF">2024-07-11T14:06:00Z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