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93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617"/>
        <w:gridCol w:w="5773"/>
      </w:tblGrid>
      <w:tr w:rsidR="001C5ED9" w:rsidRPr="005E48B6" w14:paraId="260BBCA7" w14:textId="77777777" w:rsidTr="00AB7015">
        <w:trPr>
          <w:jc w:val="center"/>
        </w:trPr>
        <w:tc>
          <w:tcPr>
            <w:tcW w:w="2550" w:type="dxa"/>
            <w:shd w:val="clear" w:color="auto" w:fill="DEEAF6" w:themeFill="accent1" w:themeFillTint="33"/>
            <w:vAlign w:val="center"/>
          </w:tcPr>
          <w:p w14:paraId="5BD14DD7" w14:textId="77777777" w:rsidR="001C5ED9" w:rsidRPr="005E48B6" w:rsidRDefault="001C5ED9" w:rsidP="00AB7015">
            <w:pPr>
              <w:spacing w:before="240" w:after="120" w:line="216" w:lineRule="auto"/>
              <w:mirrorIndents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97AC3">
              <w:rPr>
                <w:rFonts w:ascii="Segoe UI" w:hAnsi="Segoe UI" w:cs="Segoe UI"/>
                <w:noProof/>
              </w:rPr>
              <w:drawing>
                <wp:inline distT="0" distB="0" distL="0" distR="0" wp14:anchorId="39A40D76" wp14:editId="65A549DF">
                  <wp:extent cx="2160000" cy="730909"/>
                  <wp:effectExtent l="0" t="0" r="0" b="0"/>
                  <wp:docPr id="2" name="Immagine 2" descr="C:\Users\dovico\Desktop\Pacchetto logo formato png\marchio_unipi_orizz_pant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vico\Desktop\Pacchetto logo formato png\marchio_unipi_orizz_pant5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73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DEEAF6" w:themeFill="accent1" w:themeFillTint="33"/>
            <w:vAlign w:val="center"/>
          </w:tcPr>
          <w:p w14:paraId="07A408DA" w14:textId="77777777" w:rsidR="001C5ED9" w:rsidRDefault="001C5ED9" w:rsidP="00AB7015">
            <w:pPr>
              <w:spacing w:line="216" w:lineRule="auto"/>
              <w:mirrorIndents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Modello di riepilogo </w:t>
            </w:r>
          </w:p>
          <w:p w14:paraId="3AF43B35" w14:textId="77777777" w:rsidR="001C5ED9" w:rsidRDefault="001C5ED9" w:rsidP="00AB7015">
            <w:pPr>
              <w:spacing w:line="216" w:lineRule="auto"/>
              <w:mirrorIndents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del </w:t>
            </w:r>
            <w:r w:rsidRPr="005E48B6">
              <w:rPr>
                <w:rFonts w:ascii="Segoe UI" w:hAnsi="Segoe UI" w:cs="Segoe UI"/>
                <w:b/>
                <w:sz w:val="24"/>
                <w:szCs w:val="28"/>
              </w:rPr>
              <w:t>Monitoraggio Annuale</w:t>
            </w:r>
          </w:p>
          <w:p w14:paraId="469039F1" w14:textId="77777777" w:rsidR="001C5ED9" w:rsidRPr="00F431D6" w:rsidRDefault="001C5ED9" w:rsidP="00AB7015">
            <w:pPr>
              <w:spacing w:line="216" w:lineRule="auto"/>
              <w:mirrorIndents/>
              <w:jc w:val="right"/>
              <w:rPr>
                <w:rFonts w:ascii="Segoe UI" w:hAnsi="Segoe UI" w:cs="Segoe UI"/>
                <w:sz w:val="24"/>
                <w:szCs w:val="28"/>
              </w:rPr>
            </w:pPr>
            <w:r w:rsidRPr="00F431D6">
              <w:rPr>
                <w:rFonts w:ascii="Segoe UI" w:hAnsi="Segoe UI" w:cs="Segoe UI"/>
                <w:szCs w:val="28"/>
              </w:rPr>
              <w:t>a cura del Gruppo di Riesame</w:t>
            </w:r>
          </w:p>
        </w:tc>
      </w:tr>
    </w:tbl>
    <w:p w14:paraId="2B510DF0" w14:textId="77777777" w:rsidR="001C5ED9" w:rsidRPr="00514117" w:rsidRDefault="001C5ED9" w:rsidP="001C5ED9">
      <w:pPr>
        <w:mirrorIndents/>
        <w:rPr>
          <w:rFonts w:ascii="Segoe UI" w:hAnsi="Segoe UI" w:cs="Segoe UI"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1C5ED9" w:rsidRPr="005E48B6" w14:paraId="1F0ED76A" w14:textId="77777777" w:rsidTr="00AB7015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14:paraId="5F907DA9" w14:textId="178BDEBE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eastAsiaTheme="minorHAnsi" w:hAnsi="Segoe UI" w:cs="Segoe UI"/>
                <w:b/>
                <w:szCs w:val="22"/>
                <w:lang w:eastAsia="en-US"/>
              </w:rPr>
            </w:pPr>
            <w:r w:rsidRPr="005E48B6">
              <w:rPr>
                <w:rFonts w:ascii="Segoe UI" w:eastAsiaTheme="minorHAnsi" w:hAnsi="Segoe UI" w:cs="Segoe UI"/>
                <w:b/>
                <w:szCs w:val="22"/>
                <w:lang w:eastAsia="en-US"/>
              </w:rPr>
              <w:t>Denominazione del Corso di Studio:</w:t>
            </w:r>
            <w:r w:rsidR="00BE2143">
              <w:rPr>
                <w:rFonts w:ascii="Segoe UI" w:eastAsiaTheme="minorHAnsi" w:hAnsi="Segoe UI" w:cs="Segoe UI"/>
                <w:b/>
                <w:szCs w:val="22"/>
                <w:lang w:eastAsia="en-US"/>
              </w:rPr>
              <w:t xml:space="preserve"> Viticoltura ed Enologia</w:t>
            </w:r>
          </w:p>
          <w:p w14:paraId="4531B58E" w14:textId="1413A7A4" w:rsidR="001C5ED9" w:rsidRPr="005B388F" w:rsidRDefault="001C5ED9" w:rsidP="00AB7015">
            <w:pPr>
              <w:spacing w:after="160" w:line="259" w:lineRule="auto"/>
              <w:mirrorIndents/>
              <w:rPr>
                <w:rFonts w:ascii="Segoe UI" w:eastAsiaTheme="minorHAnsi" w:hAnsi="Segoe UI" w:cs="Segoe UI"/>
                <w:b/>
                <w:szCs w:val="22"/>
                <w:lang w:eastAsia="en-US"/>
              </w:rPr>
            </w:pPr>
            <w:r w:rsidRPr="005E48B6">
              <w:rPr>
                <w:rFonts w:ascii="Segoe UI" w:eastAsiaTheme="minorHAnsi" w:hAnsi="Segoe UI" w:cs="Segoe UI"/>
                <w:b/>
                <w:szCs w:val="22"/>
                <w:lang w:eastAsia="en-US"/>
              </w:rPr>
              <w:t>Classe</w:t>
            </w:r>
            <w:r>
              <w:rPr>
                <w:rFonts w:ascii="Segoe UI" w:eastAsiaTheme="minorHAnsi" w:hAnsi="Segoe UI" w:cs="Segoe UI"/>
                <w:b/>
                <w:szCs w:val="22"/>
                <w:lang w:eastAsia="en-US"/>
              </w:rPr>
              <w:t xml:space="preserve"> di Laurea</w:t>
            </w:r>
            <w:r w:rsidRPr="005E48B6">
              <w:rPr>
                <w:rFonts w:ascii="Segoe UI" w:eastAsiaTheme="minorHAnsi" w:hAnsi="Segoe UI" w:cs="Segoe UI"/>
                <w:b/>
                <w:szCs w:val="22"/>
                <w:lang w:eastAsia="en-US"/>
              </w:rPr>
              <w:t>:</w:t>
            </w:r>
            <w:r w:rsidR="00BE2143">
              <w:rPr>
                <w:rFonts w:ascii="Segoe UI" w:eastAsiaTheme="minorHAnsi" w:hAnsi="Segoe UI" w:cs="Segoe UI"/>
                <w:b/>
                <w:szCs w:val="22"/>
                <w:lang w:eastAsia="en-US"/>
              </w:rPr>
              <w:t xml:space="preserve"> L-26</w:t>
            </w:r>
          </w:p>
        </w:tc>
      </w:tr>
    </w:tbl>
    <w:p w14:paraId="176AB448" w14:textId="77777777" w:rsidR="001C5ED9" w:rsidRPr="00514117" w:rsidRDefault="001C5ED9" w:rsidP="001C5ED9">
      <w:pPr>
        <w:mirrorIndents/>
        <w:jc w:val="both"/>
        <w:rPr>
          <w:rFonts w:ascii="Segoe UI" w:hAnsi="Segoe UI" w:cs="Segoe UI"/>
          <w:b/>
          <w:smallCaps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1C5ED9" w:rsidRPr="005E48B6" w14:paraId="10F2A3D6" w14:textId="77777777" w:rsidTr="00AB7015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14:paraId="7392FF87" w14:textId="77777777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 xml:space="preserve">Composizione del </w:t>
            </w:r>
            <w:r w:rsidRPr="005E48B6">
              <w:rPr>
                <w:rFonts w:ascii="Segoe UI" w:hAnsi="Segoe UI" w:cs="Segoe UI"/>
                <w:b/>
                <w:szCs w:val="22"/>
              </w:rPr>
              <w:t xml:space="preserve">Gruppo di Riesame </w:t>
            </w:r>
          </w:p>
          <w:p w14:paraId="6961C1EC" w14:textId="77777777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i/>
                <w:szCs w:val="22"/>
              </w:rPr>
            </w:pPr>
            <w:r w:rsidRPr="005E48B6">
              <w:rPr>
                <w:rFonts w:ascii="Segoe UI" w:hAnsi="Segoe UI" w:cs="Segoe UI"/>
                <w:i/>
                <w:szCs w:val="22"/>
              </w:rPr>
              <w:t>Componenti obbligatori:</w:t>
            </w:r>
          </w:p>
          <w:p w14:paraId="66595984" w14:textId="4F3C2C2B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 w:rsidRPr="005E48B6">
              <w:rPr>
                <w:rFonts w:ascii="Segoe UI" w:hAnsi="Segoe UI" w:cs="Segoe UI"/>
                <w:noProof/>
                <w:szCs w:val="22"/>
              </w:rPr>
              <w:t>Prof.ssa/Prof.</w:t>
            </w:r>
            <w:r w:rsidRPr="005E48B6">
              <w:rPr>
                <w:rFonts w:ascii="Segoe UI" w:hAnsi="Segoe UI" w:cs="Segoe UI"/>
                <w:szCs w:val="22"/>
              </w:rPr>
              <w:t xml:space="preserve"> </w:t>
            </w:r>
            <w:r w:rsidR="009D3CBB">
              <w:rPr>
                <w:rFonts w:ascii="Segoe UI" w:hAnsi="Segoe UI" w:cs="Segoe UI"/>
                <w:szCs w:val="22"/>
                <w:lang w:val="sv-SE"/>
              </w:rPr>
              <w:t>Gianluca Brunori</w:t>
            </w:r>
            <w:r w:rsidRPr="005E48B6">
              <w:rPr>
                <w:rFonts w:ascii="Segoe UI" w:hAnsi="Segoe UI" w:cs="Segoe UI"/>
                <w:szCs w:val="22"/>
              </w:rPr>
              <w:t xml:space="preserve"> (Presidente del </w:t>
            </w:r>
            <w:proofErr w:type="spellStart"/>
            <w:r w:rsidRPr="005E48B6">
              <w:rPr>
                <w:rFonts w:ascii="Segoe UI" w:hAnsi="Segoe UI" w:cs="Segoe UI"/>
                <w:szCs w:val="22"/>
              </w:rPr>
              <w:t>CdS</w:t>
            </w:r>
            <w:proofErr w:type="spellEnd"/>
            <w:r w:rsidRPr="005E48B6">
              <w:rPr>
                <w:rFonts w:ascii="Segoe UI" w:hAnsi="Segoe UI" w:cs="Segoe UI"/>
                <w:szCs w:val="22"/>
              </w:rPr>
              <w:t xml:space="preserve"> </w:t>
            </w:r>
            <w:r>
              <w:rPr>
                <w:rFonts w:ascii="Segoe UI" w:hAnsi="Segoe UI" w:cs="Segoe UI"/>
                <w:szCs w:val="22"/>
              </w:rPr>
              <w:t>/</w:t>
            </w:r>
            <w:r w:rsidRPr="005E48B6">
              <w:rPr>
                <w:rFonts w:ascii="Segoe UI" w:hAnsi="Segoe UI" w:cs="Segoe UI"/>
                <w:szCs w:val="22"/>
              </w:rPr>
              <w:t xml:space="preserve"> Responsabile del </w:t>
            </w:r>
            <w:r>
              <w:rPr>
                <w:rFonts w:ascii="Segoe UI" w:hAnsi="Segoe UI" w:cs="Segoe UI"/>
                <w:szCs w:val="22"/>
              </w:rPr>
              <w:t xml:space="preserve">Gruppo di </w:t>
            </w:r>
            <w:r w:rsidRPr="005E48B6">
              <w:rPr>
                <w:rFonts w:ascii="Segoe UI" w:hAnsi="Segoe UI" w:cs="Segoe UI"/>
                <w:szCs w:val="22"/>
              </w:rPr>
              <w:t>Riesame</w:t>
            </w:r>
            <w:r>
              <w:rPr>
                <w:rFonts w:ascii="Segoe UI" w:hAnsi="Segoe UI" w:cs="Segoe UI"/>
                <w:szCs w:val="22"/>
              </w:rPr>
              <w:t>)</w:t>
            </w:r>
          </w:p>
          <w:p w14:paraId="0CCC148B" w14:textId="49E8C248" w:rsidR="001C5ED9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  <w:lang w:val="sv-SE"/>
              </w:rPr>
            </w:pP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Sig.ra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/Sig.  </w:t>
            </w:r>
            <w:proofErr w:type="spellStart"/>
            <w:r w:rsidR="009A5FDD">
              <w:rPr>
                <w:rFonts w:ascii="Segoe UI" w:hAnsi="Segoe UI" w:cs="Segoe UI"/>
                <w:szCs w:val="22"/>
                <w:lang w:val="sv-SE"/>
              </w:rPr>
              <w:t>Selene</w:t>
            </w:r>
            <w:proofErr w:type="spellEnd"/>
            <w:r w:rsidR="009A5FDD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="009A5FDD">
              <w:rPr>
                <w:rFonts w:ascii="Segoe UI" w:hAnsi="Segoe UI" w:cs="Segoe UI"/>
                <w:szCs w:val="22"/>
                <w:lang w:val="sv-SE"/>
              </w:rPr>
              <w:t>Bianco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(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Rappresentante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degli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studenti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>)</w:t>
            </w:r>
          </w:p>
          <w:p w14:paraId="0C3CC814" w14:textId="77777777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  <w:lang w:val="sv-SE"/>
              </w:rPr>
            </w:pPr>
          </w:p>
          <w:p w14:paraId="12D467DB" w14:textId="77777777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i/>
                <w:szCs w:val="22"/>
                <w:lang w:val="sv-SE"/>
              </w:rPr>
            </w:pPr>
            <w:proofErr w:type="spellStart"/>
            <w:r w:rsidRPr="005E48B6">
              <w:rPr>
                <w:rFonts w:ascii="Segoe UI" w:hAnsi="Segoe UI" w:cs="Segoe UI"/>
                <w:i/>
                <w:szCs w:val="22"/>
                <w:lang w:val="sv-SE"/>
              </w:rPr>
              <w:t>Altri</w:t>
            </w:r>
            <w:proofErr w:type="spellEnd"/>
            <w:r w:rsidRPr="005E48B6">
              <w:rPr>
                <w:rFonts w:ascii="Segoe UI" w:hAnsi="Segoe UI" w:cs="Segoe UI"/>
                <w:i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i/>
                <w:szCs w:val="22"/>
                <w:lang w:val="sv-SE"/>
              </w:rPr>
              <w:t>componenti</w:t>
            </w:r>
            <w:proofErr w:type="spellEnd"/>
            <w:r w:rsidRPr="005E48B6">
              <w:rPr>
                <w:rFonts w:ascii="Segoe UI" w:hAnsi="Segoe UI" w:cs="Segoe UI"/>
                <w:i/>
                <w:szCs w:val="22"/>
                <w:lang w:val="sv-SE"/>
              </w:rPr>
              <w:t>:</w:t>
            </w:r>
          </w:p>
          <w:p w14:paraId="79A1060F" w14:textId="42D78913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Prof.  </w:t>
            </w:r>
            <w:r w:rsidR="009D3CBB">
              <w:rPr>
                <w:rFonts w:ascii="Segoe UI" w:hAnsi="Segoe UI" w:cs="Segoe UI"/>
                <w:szCs w:val="22"/>
                <w:lang w:val="sv-SE"/>
              </w:rPr>
              <w:t xml:space="preserve">Mike Frank </w:t>
            </w:r>
            <w:proofErr w:type="spellStart"/>
            <w:r w:rsidR="009D3CBB">
              <w:rPr>
                <w:rFonts w:ascii="Segoe UI" w:hAnsi="Segoe UI" w:cs="Segoe UI"/>
                <w:szCs w:val="22"/>
                <w:lang w:val="sv-SE"/>
              </w:rPr>
              <w:t>Quartacci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r w:rsidRPr="005E48B6">
              <w:rPr>
                <w:rFonts w:ascii="Segoe UI" w:hAnsi="Segoe UI" w:cs="Segoe UI"/>
                <w:szCs w:val="22"/>
              </w:rPr>
              <w:t xml:space="preserve">(Docente del </w:t>
            </w:r>
            <w:proofErr w:type="spellStart"/>
            <w:r w:rsidRPr="005E48B6">
              <w:rPr>
                <w:rFonts w:ascii="Segoe UI" w:hAnsi="Segoe UI" w:cs="Segoe UI"/>
                <w:szCs w:val="22"/>
              </w:rPr>
              <w:t>CdS</w:t>
            </w:r>
            <w:proofErr w:type="spellEnd"/>
            <w:r w:rsidRPr="005E48B6">
              <w:rPr>
                <w:rFonts w:ascii="Segoe UI" w:hAnsi="Segoe UI" w:cs="Segoe UI"/>
                <w:szCs w:val="22"/>
              </w:rPr>
              <w:t xml:space="preserve">) </w:t>
            </w:r>
          </w:p>
          <w:p w14:paraId="317274EC" w14:textId="276EF726" w:rsidR="001C5ED9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Prof.  </w:t>
            </w:r>
            <w:r w:rsidR="009D3CBB">
              <w:rPr>
                <w:rFonts w:ascii="Segoe UI" w:hAnsi="Segoe UI" w:cs="Segoe UI"/>
                <w:szCs w:val="22"/>
                <w:lang w:val="sv-SE"/>
              </w:rPr>
              <w:t xml:space="preserve">Michele </w:t>
            </w:r>
            <w:proofErr w:type="spellStart"/>
            <w:r w:rsidR="009D3CBB">
              <w:rPr>
                <w:rFonts w:ascii="Segoe UI" w:hAnsi="Segoe UI" w:cs="Segoe UI"/>
                <w:szCs w:val="22"/>
                <w:lang w:val="sv-SE"/>
              </w:rPr>
              <w:t>Raffaelli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r w:rsidRPr="005E48B6">
              <w:rPr>
                <w:rFonts w:ascii="Segoe UI" w:hAnsi="Segoe UI" w:cs="Segoe UI"/>
                <w:szCs w:val="22"/>
              </w:rPr>
              <w:t xml:space="preserve">(Docente del </w:t>
            </w:r>
            <w:proofErr w:type="spellStart"/>
            <w:r w:rsidRPr="005E48B6">
              <w:rPr>
                <w:rFonts w:ascii="Segoe UI" w:hAnsi="Segoe UI" w:cs="Segoe UI"/>
                <w:szCs w:val="22"/>
              </w:rPr>
              <w:t>CdS</w:t>
            </w:r>
            <w:proofErr w:type="spellEnd"/>
            <w:r w:rsidRPr="005E48B6">
              <w:rPr>
                <w:rFonts w:ascii="Segoe UI" w:hAnsi="Segoe UI" w:cs="Segoe UI"/>
                <w:szCs w:val="22"/>
              </w:rPr>
              <w:t xml:space="preserve">) </w:t>
            </w:r>
          </w:p>
          <w:p w14:paraId="778807D7" w14:textId="144DABA9" w:rsidR="00BE2143" w:rsidRPr="005E48B6" w:rsidRDefault="00BE2143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 xml:space="preserve">Prof. Alberto Materazzi </w:t>
            </w:r>
            <w:r w:rsidRPr="005E48B6">
              <w:rPr>
                <w:rFonts w:ascii="Segoe UI" w:hAnsi="Segoe UI" w:cs="Segoe UI"/>
                <w:szCs w:val="22"/>
              </w:rPr>
              <w:t xml:space="preserve">(Docente del </w:t>
            </w:r>
            <w:proofErr w:type="spellStart"/>
            <w:r w:rsidRPr="005E48B6">
              <w:rPr>
                <w:rFonts w:ascii="Segoe UI" w:hAnsi="Segoe UI" w:cs="Segoe UI"/>
                <w:szCs w:val="22"/>
              </w:rPr>
              <w:t>CdS</w:t>
            </w:r>
            <w:proofErr w:type="spellEnd"/>
            <w:r w:rsidRPr="005E48B6">
              <w:rPr>
                <w:rFonts w:ascii="Segoe UI" w:hAnsi="Segoe UI" w:cs="Segoe UI"/>
                <w:szCs w:val="22"/>
              </w:rPr>
              <w:t>)</w:t>
            </w:r>
          </w:p>
          <w:p w14:paraId="0EFC44CC" w14:textId="538393BD" w:rsidR="001C5ED9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  <w:lang w:val="sv-SE"/>
              </w:rPr>
            </w:pP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Sig.ra</w:t>
            </w:r>
            <w:proofErr w:type="spellEnd"/>
            <w:r w:rsidR="009A5FDD">
              <w:rPr>
                <w:rFonts w:ascii="Segoe UI" w:hAnsi="Segoe UI" w:cs="Segoe UI"/>
                <w:szCs w:val="22"/>
                <w:lang w:val="sv-SE"/>
              </w:rPr>
              <w:t xml:space="preserve"> Pamela </w:t>
            </w:r>
            <w:proofErr w:type="spellStart"/>
            <w:r w:rsidR="009A5FDD">
              <w:rPr>
                <w:rFonts w:ascii="Segoe UI" w:hAnsi="Segoe UI" w:cs="Segoe UI"/>
                <w:szCs w:val="22"/>
                <w:lang w:val="sv-SE"/>
              </w:rPr>
              <w:t>Pojer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(</w:t>
            </w:r>
            <w:r w:rsidRPr="005E48B6">
              <w:rPr>
                <w:rFonts w:ascii="Segoe UI" w:hAnsi="Segoe UI" w:cs="Segoe UI"/>
                <w:szCs w:val="22"/>
              </w:rPr>
              <w:t>Eventuale altro</w:t>
            </w:r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Rappresentante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degli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studenti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)  </w:t>
            </w:r>
          </w:p>
          <w:p w14:paraId="79C788F8" w14:textId="6BDABC21" w:rsidR="009A5FDD" w:rsidRPr="005E48B6" w:rsidRDefault="009A5FDD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  <w:lang w:val="sv-SE"/>
              </w:rPr>
            </w:pP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Sig.ra</w:t>
            </w:r>
            <w:proofErr w:type="spellEnd"/>
            <w:r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r>
              <w:rPr>
                <w:rFonts w:ascii="Segoe UI" w:hAnsi="Segoe UI" w:cs="Segoe UI"/>
                <w:szCs w:val="22"/>
                <w:lang w:val="sv-SE"/>
              </w:rPr>
              <w:t xml:space="preserve">Francesca </w:t>
            </w:r>
            <w:proofErr w:type="spellStart"/>
            <w:r>
              <w:rPr>
                <w:rFonts w:ascii="Segoe UI" w:hAnsi="Segoe UI" w:cs="Segoe UI"/>
                <w:szCs w:val="22"/>
                <w:lang w:val="sv-SE"/>
              </w:rPr>
              <w:t>Preda</w:t>
            </w:r>
            <w:proofErr w:type="spellEnd"/>
            <w:r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r w:rsidRPr="005E48B6">
              <w:rPr>
                <w:rFonts w:ascii="Segoe UI" w:hAnsi="Segoe UI" w:cs="Segoe UI"/>
                <w:szCs w:val="22"/>
                <w:lang w:val="sv-SE"/>
              </w:rPr>
              <w:t>(</w:t>
            </w:r>
            <w:r w:rsidRPr="005E48B6">
              <w:rPr>
                <w:rFonts w:ascii="Segoe UI" w:hAnsi="Segoe UI" w:cs="Segoe UI"/>
                <w:szCs w:val="22"/>
              </w:rPr>
              <w:t>Eventuale altro</w:t>
            </w:r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Rappresentante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degli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studenti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)  </w:t>
            </w:r>
          </w:p>
          <w:p w14:paraId="7EE80F63" w14:textId="40F49B31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 w:rsidRPr="005E48B6">
              <w:rPr>
                <w:rFonts w:ascii="Segoe UI" w:hAnsi="Segoe UI" w:cs="Segoe UI"/>
                <w:noProof/>
                <w:szCs w:val="22"/>
              </w:rPr>
              <w:t>Dott.</w:t>
            </w:r>
            <w:r w:rsidRPr="005E48B6">
              <w:rPr>
                <w:rFonts w:ascii="Segoe UI" w:hAnsi="Segoe UI" w:cs="Segoe UI"/>
                <w:szCs w:val="22"/>
              </w:rPr>
              <w:t xml:space="preserve"> </w:t>
            </w:r>
            <w:r w:rsidR="009D3CBB">
              <w:rPr>
                <w:rFonts w:ascii="Segoe UI" w:hAnsi="Segoe UI" w:cs="Segoe UI"/>
                <w:szCs w:val="22"/>
                <w:lang w:val="sv-SE"/>
              </w:rPr>
              <w:t xml:space="preserve">Stefano </w:t>
            </w:r>
            <w:proofErr w:type="spellStart"/>
            <w:r w:rsidR="009D3CBB">
              <w:rPr>
                <w:rFonts w:ascii="Segoe UI" w:hAnsi="Segoe UI" w:cs="Segoe UI"/>
                <w:szCs w:val="22"/>
                <w:lang w:val="sv-SE"/>
              </w:rPr>
              <w:t>Fanti</w:t>
            </w:r>
            <w:proofErr w:type="spellEnd"/>
            <w:r w:rsidRPr="005E48B6">
              <w:rPr>
                <w:rFonts w:ascii="Segoe UI" w:hAnsi="Segoe UI" w:cs="Segoe UI"/>
                <w:szCs w:val="22"/>
              </w:rPr>
              <w:t xml:space="preserve"> (Tecnico amministrativo con funzione di Responsabile dell’Unità Didattica)</w:t>
            </w:r>
          </w:p>
          <w:p w14:paraId="27A33B88" w14:textId="223406C6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  <w:lang w:val="sv-SE"/>
              </w:rPr>
            </w:pP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Dott.ssa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</w:t>
            </w:r>
            <w:r w:rsidR="009D3CBB">
              <w:rPr>
                <w:rFonts w:ascii="Segoe UI" w:hAnsi="Segoe UI" w:cs="Segoe UI"/>
                <w:szCs w:val="22"/>
                <w:lang w:val="sv-SE"/>
              </w:rPr>
              <w:t xml:space="preserve">Giulia </w:t>
            </w:r>
            <w:proofErr w:type="spellStart"/>
            <w:r w:rsidR="009D3CBB">
              <w:rPr>
                <w:rFonts w:ascii="Segoe UI" w:hAnsi="Segoe UI" w:cs="Segoe UI"/>
                <w:szCs w:val="22"/>
                <w:lang w:val="sv-SE"/>
              </w:rPr>
              <w:t>Scalzini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(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Rappresentante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del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mondo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 xml:space="preserve"> del </w:t>
            </w:r>
            <w:proofErr w:type="spellStart"/>
            <w:r w:rsidRPr="005E48B6">
              <w:rPr>
                <w:rFonts w:ascii="Segoe UI" w:hAnsi="Segoe UI" w:cs="Segoe UI"/>
                <w:szCs w:val="22"/>
                <w:lang w:val="sv-SE"/>
              </w:rPr>
              <w:t>lavoro</w:t>
            </w:r>
            <w:proofErr w:type="spellEnd"/>
            <w:r w:rsidRPr="005E48B6">
              <w:rPr>
                <w:rFonts w:ascii="Segoe UI" w:hAnsi="Segoe UI" w:cs="Segoe UI"/>
                <w:szCs w:val="22"/>
                <w:lang w:val="sv-SE"/>
              </w:rPr>
              <w:t>)</w:t>
            </w:r>
          </w:p>
          <w:p w14:paraId="15FDA66E" w14:textId="77777777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</w:p>
          <w:p w14:paraId="3EE68AD9" w14:textId="77777777" w:rsidR="001C5ED9" w:rsidRPr="005E48B6" w:rsidRDefault="001C5ED9" w:rsidP="00AB7015">
            <w:pPr>
              <w:spacing w:after="160" w:line="259" w:lineRule="auto"/>
              <w:mirrorIndents/>
              <w:rPr>
                <w:rFonts w:ascii="Segoe UI" w:hAnsi="Segoe UI" w:cs="Segoe UI"/>
                <w:szCs w:val="22"/>
              </w:rPr>
            </w:pPr>
            <w:r w:rsidRPr="005E48B6">
              <w:rPr>
                <w:rFonts w:ascii="Segoe UI" w:hAnsi="Segoe UI" w:cs="Segoe UI"/>
                <w:szCs w:val="22"/>
              </w:rPr>
              <w:t>Il Gruppo di Riesam</w:t>
            </w:r>
            <w:r>
              <w:rPr>
                <w:rFonts w:ascii="Segoe UI" w:hAnsi="Segoe UI" w:cs="Segoe UI"/>
                <w:szCs w:val="22"/>
              </w:rPr>
              <w:t>e</w:t>
            </w:r>
            <w:r w:rsidRPr="005E48B6">
              <w:rPr>
                <w:rFonts w:ascii="Segoe UI" w:hAnsi="Segoe UI" w:cs="Segoe UI"/>
                <w:szCs w:val="22"/>
              </w:rPr>
              <w:t xml:space="preserve">, per la discussione degli </w:t>
            </w:r>
            <w:r>
              <w:rPr>
                <w:rFonts w:ascii="Segoe UI" w:hAnsi="Segoe UI" w:cs="Segoe UI"/>
                <w:szCs w:val="22"/>
              </w:rPr>
              <w:t>indicatori e la preparazione della Scheda di Monitoraggio Annuale</w:t>
            </w:r>
            <w:r w:rsidRPr="005E48B6">
              <w:rPr>
                <w:rFonts w:ascii="Segoe UI" w:hAnsi="Segoe UI" w:cs="Segoe UI"/>
                <w:szCs w:val="22"/>
              </w:rPr>
              <w:t xml:space="preserve">, </w:t>
            </w:r>
            <w:r>
              <w:rPr>
                <w:rFonts w:ascii="Segoe UI" w:hAnsi="Segoe UI" w:cs="Segoe UI"/>
                <w:szCs w:val="22"/>
              </w:rPr>
              <w:t xml:space="preserve">ha </w:t>
            </w:r>
            <w:r w:rsidRPr="005E48B6">
              <w:rPr>
                <w:rFonts w:ascii="Segoe UI" w:hAnsi="Segoe UI" w:cs="Segoe UI"/>
                <w:szCs w:val="22"/>
              </w:rPr>
              <w:t>opera</w:t>
            </w:r>
            <w:r>
              <w:rPr>
                <w:rFonts w:ascii="Segoe UI" w:hAnsi="Segoe UI" w:cs="Segoe UI"/>
                <w:szCs w:val="22"/>
              </w:rPr>
              <w:t>t</w:t>
            </w:r>
            <w:r w:rsidRPr="005E48B6">
              <w:rPr>
                <w:rFonts w:ascii="Segoe UI" w:hAnsi="Segoe UI" w:cs="Segoe UI"/>
                <w:szCs w:val="22"/>
              </w:rPr>
              <w:t>o com</w:t>
            </w:r>
            <w:r>
              <w:rPr>
                <w:rFonts w:ascii="Segoe UI" w:hAnsi="Segoe UI" w:cs="Segoe UI"/>
                <w:szCs w:val="22"/>
              </w:rPr>
              <w:t>e</w:t>
            </w:r>
            <w:r w:rsidRPr="005E48B6">
              <w:rPr>
                <w:rFonts w:ascii="Segoe UI" w:hAnsi="Segoe UI" w:cs="Segoe UI"/>
                <w:szCs w:val="22"/>
              </w:rPr>
              <w:t xml:space="preserve"> </w:t>
            </w:r>
            <w:r>
              <w:rPr>
                <w:rFonts w:ascii="Segoe UI" w:hAnsi="Segoe UI" w:cs="Segoe UI"/>
                <w:szCs w:val="22"/>
              </w:rPr>
              <w:t xml:space="preserve">di seguito descritto (indicare per esempio suddivisione dei compiti tra i componenti, date ed oggetto degli incontri telematici o della corrispondenza via </w:t>
            </w:r>
            <w:proofErr w:type="gramStart"/>
            <w:r>
              <w:rPr>
                <w:rFonts w:ascii="Segoe UI" w:hAnsi="Segoe UI" w:cs="Segoe UI"/>
                <w:szCs w:val="22"/>
              </w:rPr>
              <w:t>email</w:t>
            </w:r>
            <w:proofErr w:type="gramEnd"/>
            <w:r>
              <w:rPr>
                <w:rFonts w:ascii="Segoe UI" w:hAnsi="Segoe UI" w:cs="Segoe UI"/>
                <w:szCs w:val="22"/>
              </w:rPr>
              <w:t>)</w:t>
            </w:r>
            <w:r w:rsidRPr="005E48B6">
              <w:rPr>
                <w:rFonts w:ascii="Segoe UI" w:hAnsi="Segoe UI" w:cs="Segoe UI"/>
                <w:szCs w:val="22"/>
              </w:rPr>
              <w:t>:</w:t>
            </w:r>
          </w:p>
          <w:p w14:paraId="2D698C36" w14:textId="5BEB4771" w:rsidR="001C5ED9" w:rsidRDefault="009D3CBB" w:rsidP="00AB7015">
            <w:pPr>
              <w:spacing w:before="120"/>
              <w:ind w:left="794"/>
              <w:mirrorIndents/>
              <w:rPr>
                <w:rFonts w:ascii="Segoe UI" w:hAnsi="Segoe UI" w:cs="Segoe UI"/>
                <w:bCs/>
                <w:szCs w:val="22"/>
              </w:rPr>
            </w:pPr>
            <w:r>
              <w:rPr>
                <w:rFonts w:ascii="Segoe UI" w:hAnsi="Segoe UI" w:cs="Segoe UI"/>
                <w:bCs/>
                <w:szCs w:val="22"/>
              </w:rPr>
              <w:t>Riunione del gruppo di riesame il 21 ottobre 2020</w:t>
            </w:r>
          </w:p>
          <w:p w14:paraId="6C20A233" w14:textId="22C88DA9" w:rsidR="009D3CBB" w:rsidRDefault="009D3CBB" w:rsidP="00AB7015">
            <w:pPr>
              <w:spacing w:before="120"/>
              <w:ind w:left="794"/>
              <w:mirrorIndents/>
              <w:rPr>
                <w:rFonts w:ascii="Segoe UI" w:hAnsi="Segoe UI" w:cs="Segoe UI"/>
                <w:bCs/>
                <w:szCs w:val="22"/>
              </w:rPr>
            </w:pPr>
            <w:r>
              <w:rPr>
                <w:rFonts w:ascii="Segoe UI" w:hAnsi="Segoe UI" w:cs="Segoe UI"/>
                <w:bCs/>
                <w:szCs w:val="22"/>
              </w:rPr>
              <w:t xml:space="preserve">Prima bozza a cura del prof. Mike Frank </w:t>
            </w:r>
            <w:proofErr w:type="spellStart"/>
            <w:r>
              <w:rPr>
                <w:rFonts w:ascii="Segoe UI" w:hAnsi="Segoe UI" w:cs="Segoe UI"/>
                <w:bCs/>
                <w:szCs w:val="22"/>
              </w:rPr>
              <w:t>Quartacci</w:t>
            </w:r>
            <w:proofErr w:type="spellEnd"/>
            <w:r>
              <w:rPr>
                <w:rFonts w:ascii="Segoe UI" w:hAnsi="Segoe UI" w:cs="Segoe UI"/>
                <w:bCs/>
                <w:szCs w:val="22"/>
              </w:rPr>
              <w:t xml:space="preserve"> 2 novembre 2020</w:t>
            </w:r>
          </w:p>
          <w:p w14:paraId="49D41435" w14:textId="62AFC57D" w:rsidR="009D3CBB" w:rsidRDefault="009D3CBB" w:rsidP="009D3CBB">
            <w:pPr>
              <w:spacing w:before="120"/>
              <w:ind w:left="794"/>
              <w:mirrorIndents/>
              <w:rPr>
                <w:rFonts w:ascii="Segoe UI" w:hAnsi="Segoe UI" w:cs="Segoe UI"/>
                <w:bCs/>
                <w:szCs w:val="22"/>
              </w:rPr>
            </w:pPr>
            <w:r>
              <w:rPr>
                <w:rFonts w:ascii="Segoe UI" w:hAnsi="Segoe UI" w:cs="Segoe UI"/>
                <w:bCs/>
                <w:szCs w:val="22"/>
              </w:rPr>
              <w:t>Bozza rivista dal prof. Brunori il 22 novembre 2020 e fatta circolare ai membri della commissione di riesame</w:t>
            </w:r>
          </w:p>
          <w:p w14:paraId="4534C43D" w14:textId="4FB91B88" w:rsidR="001C5ED9" w:rsidRPr="00E01482" w:rsidRDefault="009D3CBB" w:rsidP="00AB7015">
            <w:pPr>
              <w:spacing w:before="120"/>
              <w:ind w:left="794"/>
              <w:mirrorIndents/>
              <w:rPr>
                <w:rFonts w:ascii="Segoe UI" w:hAnsi="Segoe UI" w:cs="Segoe UI"/>
                <w:bCs/>
                <w:szCs w:val="22"/>
                <w:lang w:val="sv-SE"/>
              </w:rPr>
            </w:pPr>
            <w:r>
              <w:rPr>
                <w:rFonts w:ascii="Segoe UI" w:hAnsi="Segoe UI" w:cs="Segoe UI"/>
                <w:bCs/>
                <w:szCs w:val="22"/>
              </w:rPr>
              <w:t xml:space="preserve">Riunione del gruppo di riesame il </w:t>
            </w:r>
            <w:proofErr w:type="gramStart"/>
            <w:r>
              <w:rPr>
                <w:rFonts w:ascii="Segoe UI" w:hAnsi="Segoe UI" w:cs="Segoe UI"/>
                <w:bCs/>
                <w:szCs w:val="22"/>
              </w:rPr>
              <w:t>1 Dicembre</w:t>
            </w:r>
            <w:proofErr w:type="gramEnd"/>
            <w:r>
              <w:rPr>
                <w:rFonts w:ascii="Segoe UI" w:hAnsi="Segoe UI" w:cs="Segoe UI"/>
                <w:bCs/>
                <w:szCs w:val="22"/>
              </w:rPr>
              <w:t xml:space="preserve"> 2020</w:t>
            </w:r>
          </w:p>
          <w:p w14:paraId="14594316" w14:textId="0C4A0A05" w:rsidR="001C5ED9" w:rsidRPr="00E01482" w:rsidRDefault="009D3CBB" w:rsidP="00AB7015">
            <w:pPr>
              <w:spacing w:before="120"/>
              <w:ind w:left="794"/>
              <w:mirrorIndents/>
              <w:rPr>
                <w:rFonts w:ascii="Segoe UI" w:hAnsi="Segoe UI" w:cs="Segoe UI"/>
                <w:bCs/>
                <w:szCs w:val="22"/>
                <w:lang w:val="sv-SE"/>
              </w:rPr>
            </w:pPr>
            <w:r>
              <w:rPr>
                <w:rFonts w:ascii="Segoe UI" w:hAnsi="Segoe UI" w:cs="Segoe UI"/>
                <w:bCs/>
                <w:szCs w:val="22"/>
              </w:rPr>
              <w:t xml:space="preserve">Riunione del Consiglio di Corso di Laurea il </w:t>
            </w:r>
            <w:proofErr w:type="gramStart"/>
            <w:r>
              <w:rPr>
                <w:rFonts w:ascii="Segoe UI" w:hAnsi="Segoe UI" w:cs="Segoe UI"/>
                <w:bCs/>
                <w:szCs w:val="22"/>
              </w:rPr>
              <w:t>1 Dicembre</w:t>
            </w:r>
            <w:proofErr w:type="gramEnd"/>
            <w:r>
              <w:rPr>
                <w:rFonts w:ascii="Segoe UI" w:hAnsi="Segoe UI" w:cs="Segoe UI"/>
                <w:bCs/>
                <w:szCs w:val="22"/>
              </w:rPr>
              <w:t xml:space="preserve"> 2020</w:t>
            </w:r>
          </w:p>
          <w:p w14:paraId="3F6F5E30" w14:textId="77777777" w:rsidR="001C5ED9" w:rsidRPr="00E01482" w:rsidRDefault="001C5ED9" w:rsidP="00AB7015">
            <w:pPr>
              <w:spacing w:before="120"/>
              <w:ind w:left="794"/>
              <w:mirrorIndents/>
              <w:rPr>
                <w:rFonts w:ascii="Segoe UI" w:hAnsi="Segoe UI" w:cs="Segoe UI"/>
                <w:bCs/>
                <w:szCs w:val="22"/>
                <w:lang w:val="sv-SE"/>
              </w:rPr>
            </w:pPr>
          </w:p>
          <w:p w14:paraId="2E7D1DF2" w14:textId="77777777" w:rsidR="001C5ED9" w:rsidRPr="005E48B6" w:rsidRDefault="001C5ED9" w:rsidP="00AB7015">
            <w:pPr>
              <w:spacing w:before="120" w:after="160" w:line="259" w:lineRule="auto"/>
              <w:mirrorIndents/>
              <w:rPr>
                <w:rFonts w:ascii="Segoe UI" w:hAnsi="Segoe UI" w:cs="Segoe UI"/>
                <w:szCs w:val="22"/>
              </w:rPr>
            </w:pPr>
          </w:p>
        </w:tc>
      </w:tr>
      <w:tr w:rsidR="009D3CBB" w:rsidRPr="005E48B6" w14:paraId="0AD8397D" w14:textId="77777777" w:rsidTr="00AB7015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14:paraId="7DF3BE4B" w14:textId="77777777" w:rsidR="009D3CBB" w:rsidRDefault="009D3CBB" w:rsidP="00AB7015">
            <w:pPr>
              <w:mirrorIndents/>
              <w:rPr>
                <w:rFonts w:ascii="Segoe UI" w:hAnsi="Segoe UI" w:cs="Segoe UI"/>
                <w:b/>
              </w:rPr>
            </w:pPr>
          </w:p>
        </w:tc>
      </w:tr>
    </w:tbl>
    <w:p w14:paraId="4783F0D4" w14:textId="77777777" w:rsidR="001C5ED9" w:rsidRPr="00514117" w:rsidRDefault="001C5ED9" w:rsidP="001C5ED9">
      <w:pPr>
        <w:mirrorIndents/>
        <w:rPr>
          <w:rFonts w:ascii="Segoe UI" w:hAnsi="Segoe UI" w:cs="Segoe UI"/>
          <w:sz w:val="10"/>
        </w:rPr>
      </w:pPr>
    </w:p>
    <w:p w14:paraId="286C3F9E" w14:textId="77777777" w:rsidR="001C5ED9" w:rsidRDefault="001C5ED9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14:paraId="4863B57F" w14:textId="77777777" w:rsidTr="005847BB">
        <w:trPr>
          <w:jc w:val="center"/>
        </w:trPr>
        <w:tc>
          <w:tcPr>
            <w:tcW w:w="9392" w:type="dxa"/>
            <w:shd w:val="clear" w:color="auto" w:fill="D5DCE4"/>
            <w:vAlign w:val="center"/>
          </w:tcPr>
          <w:p w14:paraId="0AED3054" w14:textId="77777777" w:rsidR="00CF6ADA" w:rsidRPr="005E48B6" w:rsidRDefault="00CF6ADA" w:rsidP="00CE0FAD">
            <w:pPr>
              <w:spacing w:line="216" w:lineRule="auto"/>
              <w:mirrorIndents/>
              <w:rPr>
                <w:rFonts w:ascii="Segoe UI" w:hAnsi="Segoe UI" w:cs="Segoe UI"/>
                <w:b/>
                <w:sz w:val="22"/>
                <w:szCs w:val="28"/>
              </w:rPr>
            </w:pPr>
            <w:r w:rsidRPr="005E48B6">
              <w:rPr>
                <w:rFonts w:ascii="Segoe UI" w:hAnsi="Segoe UI" w:cs="Segoe UI"/>
                <w:b/>
                <w:sz w:val="22"/>
                <w:szCs w:val="28"/>
              </w:rPr>
              <w:t>BREVE COMMENTO AGLI INDICATORI</w:t>
            </w:r>
          </w:p>
        </w:tc>
      </w:tr>
    </w:tbl>
    <w:p w14:paraId="34369EB5" w14:textId="77777777" w:rsidR="00CF6ADA" w:rsidRPr="00514117" w:rsidRDefault="00CF6ADA" w:rsidP="00CE0FAD">
      <w:pPr>
        <w:mirrorIndents/>
        <w:rPr>
          <w:rFonts w:ascii="Segoe UI" w:hAnsi="Segoe UI" w:cs="Segoe UI"/>
        </w:rPr>
      </w:pP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CF6ADA" w:rsidRPr="005E48B6" w14:paraId="3656DE6F" w14:textId="77777777" w:rsidTr="005847BB">
        <w:trPr>
          <w:jc w:val="center"/>
        </w:trPr>
        <w:tc>
          <w:tcPr>
            <w:tcW w:w="9392" w:type="dxa"/>
            <w:shd w:val="clear" w:color="auto" w:fill="auto"/>
            <w:vAlign w:val="center"/>
          </w:tcPr>
          <w:p w14:paraId="2E7349DD" w14:textId="5622FA90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L’analisi è stata condotta sulla base del set di indicatori reso disponibile dall’ANVUR attraverso la scheda di monitoraggio annuale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</w:t>
            </w:r>
            <w:r w:rsidRPr="00BD7264">
              <w:rPr>
                <w:rFonts w:cs="Lucida Sans Unicode"/>
                <w:b/>
                <w:color w:val="000000" w:themeColor="text1"/>
                <w:sz w:val="18"/>
                <w:szCs w:val="18"/>
              </w:rPr>
              <w:t>D3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). Gli indicatori sono quelli risultanti alla data del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10 ottobre 2020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e consentono una valutazione della performance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attraverso il confronto sia di tipo longitudinale (variazione degli indicatori</w:t>
            </w:r>
            <w:r w:rsidR="007550F7">
              <w:rPr>
                <w:rFonts w:cs="Lucida Sans Unicode"/>
                <w:color w:val="000000" w:themeColor="text1"/>
                <w:sz w:val="18"/>
                <w:szCs w:val="18"/>
              </w:rPr>
              <w:t xml:space="preserve"> rispetto agli anni precedenti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 che trasversale (valore degli indicatori rispetto ai benchmark di riferimento, ovvero i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della stessa classe erogati nell’area geografica di appartenenza - Centro - e a livello nazionale).</w:t>
            </w:r>
          </w:p>
          <w:p w14:paraId="17E58166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</w:p>
          <w:p w14:paraId="5AA1DEED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Immatricolati ed iscritti</w:t>
            </w:r>
          </w:p>
          <w:p w14:paraId="0EF1FEC5" w14:textId="00588270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 xml:space="preserve">iC00a, iC00b, iC00d: </w:t>
            </w:r>
            <w:r w:rsidR="005F5E07" w:rsidRPr="00146F43">
              <w:rPr>
                <w:rFonts w:cs="Lucida Sans Unicode"/>
                <w:color w:val="00B050"/>
                <w:sz w:val="18"/>
                <w:szCs w:val="18"/>
                <w:u w:val="single"/>
              </w:rPr>
              <w:t>Punto di forza</w:t>
            </w:r>
            <w:r w:rsidR="005F5E07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/</w:t>
            </w:r>
            <w:r w:rsidR="00146F43" w:rsidRPr="00146F43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14:paraId="74C788C8" w14:textId="12089293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Nel 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>201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il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ha avviato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alla carriera al primo anno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95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studenti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(dei quali 69 immatricolati puri, come riportato dall’indicatore iC00b)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, dopo un picco di 1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26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studenti nel 201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 xml:space="preserve">Il maggior numero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di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avvii di carriera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 xml:space="preserve">rispetto al Centro e al dato nazionale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ha influenzato il numero complessivo di iscritti (iC00d) che al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201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risulta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va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pari a </w:t>
            </w:r>
            <w:r w:rsidR="00146F43">
              <w:rPr>
                <w:rFonts w:cs="Lucida Sans Unicode"/>
                <w:color w:val="000000" w:themeColor="text1"/>
                <w:sz w:val="18"/>
                <w:szCs w:val="18"/>
              </w:rPr>
              <w:t>395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Per il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, questo indicatore rappresenta un fattore di attrattività e dunque un punto di forza, ma anche un fattore di criticità, in relazione alla pressione del numero di studenti sulle ore di docenza disponibili e sulle strutture.</w:t>
            </w:r>
          </w:p>
          <w:p w14:paraId="25D749DC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</w:p>
          <w:p w14:paraId="4F39314C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 xml:space="preserve">Attrattività del </w:t>
            </w:r>
            <w:proofErr w:type="spellStart"/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CdS</w:t>
            </w:r>
            <w:proofErr w:type="spellEnd"/>
          </w:p>
          <w:p w14:paraId="6025092C" w14:textId="77777777"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iC03: Punto di forza</w:t>
            </w:r>
          </w:p>
          <w:p w14:paraId="07DDD1A7" w14:textId="0D03985B" w:rsidR="00154673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Il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presenta una forte attrattività nei confronti di altre regioni, come mostrato dall’indicatore iC03 (percentuale di iscritti al primo anno (L, LMCU) provenienti da altre Regioni</w:t>
            </w:r>
            <w:r w:rsidR="00D67077">
              <w:rPr>
                <w:rFonts w:cs="Lucida Sans Unicode"/>
                <w:color w:val="000000" w:themeColor="text1"/>
                <w:sz w:val="18"/>
                <w:szCs w:val="18"/>
              </w:rPr>
              <w:t>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, valore 20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>1</w:t>
            </w:r>
            <w:r w:rsidR="00BD0699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BD0699">
              <w:rPr>
                <w:rFonts w:cs="Lucida Sans Unicode"/>
                <w:color w:val="000000" w:themeColor="text1"/>
                <w:sz w:val="18"/>
                <w:szCs w:val="18"/>
              </w:rPr>
              <w:t>25,3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%, in </w:t>
            </w:r>
            <w:r w:rsidR="00BD0699">
              <w:rPr>
                <w:rFonts w:cs="Lucida Sans Unicode"/>
                <w:color w:val="000000" w:themeColor="text1"/>
                <w:sz w:val="18"/>
                <w:szCs w:val="18"/>
              </w:rPr>
              <w:t>diminuzione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rispetto 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 xml:space="preserve">all’anno precedente che peraltro aveva messo in evidenza un </w:t>
            </w:r>
            <w:r w:rsidR="00BD0699">
              <w:rPr>
                <w:rFonts w:cs="Lucida Sans Unicode"/>
                <w:color w:val="000000" w:themeColor="text1"/>
                <w:sz w:val="18"/>
                <w:szCs w:val="18"/>
              </w:rPr>
              <w:t>picco</w:t>
            </w:r>
            <w:r w:rsidR="006F17D1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Il dato è </w:t>
            </w:r>
            <w:r w:rsidR="00BD0699">
              <w:rPr>
                <w:rFonts w:cs="Lucida Sans Unicode"/>
                <w:color w:val="000000" w:themeColor="text1"/>
                <w:sz w:val="18"/>
                <w:szCs w:val="18"/>
              </w:rPr>
              <w:t xml:space="preserve">in linea (Centro) o superiore (Italia) con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quello di altri Atenei.</w:t>
            </w:r>
          </w:p>
          <w:p w14:paraId="63C0A006" w14:textId="77777777" w:rsidR="005F5E07" w:rsidRPr="006F17D1" w:rsidRDefault="005F5E0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</w:p>
          <w:p w14:paraId="6FC7F466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Prosecuzione degli studi</w:t>
            </w:r>
          </w:p>
          <w:p w14:paraId="64F7CE4F" w14:textId="68466A01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 xml:space="preserve">iC14, iC21, iC23: 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Situazione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 xml:space="preserve"> simile a quella di altri Atenei</w:t>
            </w:r>
          </w:p>
          <w:p w14:paraId="11B2A437" w14:textId="2141BE6A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indicatori iC14, iC21, iC23 non mostrano scostamenti rilevanti rispetto ad altri Atenei.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Nel 201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ha proseguito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studi nel 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</w:rPr>
              <w:t xml:space="preserve">II anno nel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il 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</w:rPr>
              <w:t>72,0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%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degli studenti, mentre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diminuisce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la percentuale di studenti che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cambia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rimanendo nello stesso 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</w:rPr>
              <w:t>A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teneo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</w:t>
            </w:r>
            <w:r w:rsidR="00526156">
              <w:rPr>
                <w:rFonts w:cs="Lucida Sans Unicode"/>
                <w:color w:val="000000" w:themeColor="text1"/>
                <w:sz w:val="18"/>
                <w:szCs w:val="18"/>
              </w:rPr>
              <w:t>3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%)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0D527A98" w14:textId="14DE33EB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iC24: Punto di debolezza</w:t>
            </w:r>
            <w:r w:rsidR="0076753F">
              <w:rPr>
                <w:rFonts w:cs="Lucida Sans Unicode"/>
                <w:color w:val="FF0000"/>
                <w:sz w:val="18"/>
                <w:szCs w:val="18"/>
                <w:u w:val="single"/>
              </w:rPr>
              <w:t>,</w:t>
            </w:r>
          </w:p>
          <w:p w14:paraId="3035DDEE" w14:textId="77777777" w:rsidR="00154673" w:rsidRPr="003F3002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L’indicatore iC24 evidenzia criticità riguardo alla </w:t>
            </w:r>
            <w:r w:rsidRPr="0076753F">
              <w:rPr>
                <w:rFonts w:cs="Lucida Sans Unicode"/>
                <w:bCs/>
                <w:color w:val="000000" w:themeColor="text1"/>
                <w:sz w:val="18"/>
                <w:szCs w:val="18"/>
              </w:rPr>
              <w:t>percentuale di abbandoni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dopo N+1 anni (valore 201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40,2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%).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Si registra peraltro un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miglioramento rispetto al 201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(valore nel 201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>53,6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</w:t>
            </w:r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che fa avvicinare notevolmente il </w:t>
            </w:r>
            <w:proofErr w:type="spellStart"/>
            <w:r w:rsidR="00EA5A41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="00C646CC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alla media degli altri atenei in Italia 35,2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1D8FBC98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Regolarità degli studi e della produttività degli iscritti</w:t>
            </w:r>
          </w:p>
          <w:p w14:paraId="2E42D17C" w14:textId="77777777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iC01: Punto di debolezza</w:t>
            </w:r>
          </w:p>
          <w:p w14:paraId="546B59B6" w14:textId="3A1C2A67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Riguardo all’indicatore iC01 (percentuale di studenti iscritti entro la durata normale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che abbiano acquisito almeno 40 CFU nell’anno solare),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nel 2018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la performance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è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 xml:space="preserve">stata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>pari al 1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>9,5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%, 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>circa 1/3 meno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 di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quella degli Atenei dell’area Centro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 xml:space="preserve"> e la metà del dato nazionale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  <w:r w:rsidR="00BE2143">
              <w:rPr>
                <w:rFonts w:cs="Lucida Sans Unicode"/>
                <w:color w:val="000000" w:themeColor="text1"/>
                <w:sz w:val="18"/>
                <w:szCs w:val="18"/>
              </w:rPr>
              <w:t>L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>a forte diminuzione del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 2018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 xml:space="preserve">, 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>in parte legat</w:t>
            </w:r>
            <w:r w:rsidR="00BE2143">
              <w:rPr>
                <w:rFonts w:cs="Lucida Sans Unicode"/>
                <w:color w:val="000000" w:themeColor="text1"/>
                <w:sz w:val="18"/>
                <w:szCs w:val="18"/>
              </w:rPr>
              <w:t>a</w:t>
            </w:r>
            <w:r w:rsidR="003F3002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all’avvicendamento della forza docente nelle materie di base</w:t>
            </w:r>
            <w:r w:rsidR="009B2D5E">
              <w:rPr>
                <w:rFonts w:cs="Lucida Sans Unicode"/>
                <w:color w:val="000000" w:themeColor="text1"/>
                <w:sz w:val="18"/>
                <w:szCs w:val="18"/>
              </w:rPr>
              <w:t xml:space="preserve">, </w:t>
            </w:r>
            <w:r w:rsidR="00BE2143">
              <w:rPr>
                <w:rFonts w:cs="Lucida Sans Unicode"/>
                <w:color w:val="000000" w:themeColor="text1"/>
                <w:sz w:val="18"/>
                <w:szCs w:val="18"/>
              </w:rPr>
              <w:t>è stata solo parzialmente compensata nel 2019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355D88E3" w14:textId="77777777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iC15 / iC15bis: Punto di debolezza</w:t>
            </w:r>
          </w:p>
          <w:p w14:paraId="60594A46" w14:textId="10C4F9C0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indicatori iC15 (percentuale di studenti che proseguono al 2° anno nello stesso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avendo acquisito almeno 20 CFU al 1° anno) e iC15BIS (percentuale di studenti che proseguono nel 2° anno nello stesso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avendo acquisito almeno 1/3 dei CFU al 1° anno) mostrano per il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4D6A55">
              <w:rPr>
                <w:rFonts w:cs="Lucida Sans Unicode"/>
                <w:color w:val="000000" w:themeColor="text1"/>
                <w:sz w:val="18"/>
                <w:szCs w:val="18"/>
              </w:rPr>
              <w:t>valori simili a quelli dell’anno precedente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  <w:r w:rsidR="004D6A55">
              <w:rPr>
                <w:rFonts w:cs="Lucida Sans Unicode"/>
                <w:color w:val="000000" w:themeColor="text1"/>
                <w:sz w:val="18"/>
                <w:szCs w:val="18"/>
              </w:rPr>
              <w:t>La criticità è da riferirsi solamente rispetto ai dati nazionali, quelli del Centro essendo praticamente uguali.</w:t>
            </w:r>
          </w:p>
          <w:p w14:paraId="5C834927" w14:textId="77777777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iC16 / iC16bis:</w:t>
            </w:r>
            <w:r w:rsidRPr="009C5B8A">
              <w:rPr>
                <w:rFonts w:cs="Lucida Sans Unicode"/>
                <w:color w:val="FF0000"/>
                <w:sz w:val="18"/>
                <w:szCs w:val="18"/>
              </w:rPr>
              <w:t xml:space="preserve"> </w:t>
            </w: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14:paraId="339A4252" w14:textId="707DC402" w:rsidR="00154673" w:rsidRPr="009C5B8A" w:rsidRDefault="006646BE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Analoga situazione per quello che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riguarda gli indicatori iC16 (percentuale di studenti che proseguono nel 2° anno nello stesso </w:t>
            </w:r>
            <w:proofErr w:type="spellStart"/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avendo acquisito almeno 40 CFU al 1° anno) e iC16BIS (percentuale di studenti che proseguono nel 2° anno nello stesso </w:t>
            </w:r>
            <w:proofErr w:type="spellStart"/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avendo acquisito almeno 2/3 dei CFU al 1° anno)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I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valori del 201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(</w:t>
            </w:r>
            <w:r w:rsidR="003571ED">
              <w:rPr>
                <w:rFonts w:cs="Lucida Sans Unicode"/>
                <w:color w:val="000000" w:themeColor="text1"/>
                <w:sz w:val="18"/>
                <w:szCs w:val="18"/>
              </w:rPr>
              <w:t>entrambi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1</w:t>
            </w:r>
            <w:r w:rsidR="00E27C43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%)</w:t>
            </w:r>
            <w:r w:rsidR="00E27C43">
              <w:rPr>
                <w:rFonts w:cs="Lucida Sans Unicode"/>
                <w:color w:val="000000" w:themeColor="text1"/>
                <w:sz w:val="18"/>
                <w:szCs w:val="18"/>
              </w:rPr>
              <w:t>,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E27C43">
              <w:rPr>
                <w:rFonts w:cs="Lucida Sans Unicode"/>
                <w:color w:val="000000" w:themeColor="text1"/>
                <w:sz w:val="18"/>
                <w:szCs w:val="18"/>
              </w:rPr>
              <w:t xml:space="preserve">anche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sono </w:t>
            </w:r>
            <w:r w:rsidR="00E27C43">
              <w:rPr>
                <w:rFonts w:cs="Lucida Sans Unicode"/>
                <w:color w:val="000000" w:themeColor="text1"/>
                <w:sz w:val="18"/>
                <w:szCs w:val="18"/>
              </w:rPr>
              <w:t xml:space="preserve">lievemente superiori a quelli dell’anno precedente, sono comunque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più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bassi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di quelli di confronto (Centro e </w:t>
            </w:r>
            <w:r w:rsidR="00C666E5">
              <w:rPr>
                <w:rFonts w:cs="Lucida Sans Unicode"/>
                <w:color w:val="000000" w:themeColor="text1"/>
                <w:sz w:val="18"/>
                <w:szCs w:val="18"/>
              </w:rPr>
              <w:t xml:space="preserve">soprattutto 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Italia)</w:t>
            </w:r>
            <w:r w:rsidR="00E27C43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3FEF25DF" w14:textId="77777777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iC13: Punto di debolezza</w:t>
            </w:r>
          </w:p>
          <w:p w14:paraId="548CACEF" w14:textId="03AC5E83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L’indicatore iC13 (percentuale di CFU conseguiti al 1° anno su CFU da conseguire, valore 201</w:t>
            </w:r>
            <w:r w:rsidR="005C347F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3</w:t>
            </w:r>
            <w:r w:rsidR="005C347F">
              <w:rPr>
                <w:rFonts w:cs="Lucida Sans Unicode"/>
                <w:color w:val="000000" w:themeColor="text1"/>
                <w:sz w:val="18"/>
                <w:szCs w:val="18"/>
              </w:rPr>
              <w:t>6,1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%) ha mostrato valori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inferiori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a quelli riscontrati nell’area Italia</w:t>
            </w:r>
            <w:r w:rsidR="007550F7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ma simili a quelli del Centro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, </w:t>
            </w:r>
            <w:r w:rsidR="005C347F">
              <w:rPr>
                <w:rFonts w:cs="Lucida Sans Unicode"/>
                <w:color w:val="000000" w:themeColor="text1"/>
                <w:sz w:val="18"/>
                <w:szCs w:val="18"/>
              </w:rPr>
              <w:t>confermando il dato dell’anno precedente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33D32D42" w14:textId="0DBC9E91" w:rsidR="00154673" w:rsidRPr="00976F32" w:rsidRDefault="00154673" w:rsidP="00154673">
            <w:pPr>
              <w:jc w:val="both"/>
              <w:rPr>
                <w:rFonts w:cs="Lucida Sans Unicode"/>
                <w:color w:val="00B050"/>
                <w:sz w:val="18"/>
                <w:szCs w:val="18"/>
                <w:u w:val="single"/>
              </w:rPr>
            </w:pPr>
            <w:r w:rsidRPr="00976F32">
              <w:rPr>
                <w:rFonts w:cs="Lucida Sans Unicode"/>
                <w:color w:val="00B050"/>
                <w:sz w:val="18"/>
                <w:szCs w:val="18"/>
                <w:u w:val="single"/>
              </w:rPr>
              <w:t xml:space="preserve">iC10: Punto di </w:t>
            </w:r>
            <w:r w:rsidR="00976F32" w:rsidRPr="00976F32">
              <w:rPr>
                <w:rFonts w:cs="Lucida Sans Unicode"/>
                <w:color w:val="00B050"/>
                <w:sz w:val="18"/>
                <w:szCs w:val="18"/>
                <w:u w:val="single"/>
              </w:rPr>
              <w:t>forza</w:t>
            </w:r>
          </w:p>
          <w:p w14:paraId="477C0E0D" w14:textId="61FFFB98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L’indicatore iC10 (percentuale di CFU conseguiti all'estero dagli studenti regolari sul totale dei CFU conseguiti dagli studenti entro la durata normale del corso, valore 201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7,5</w:t>
            </w:r>
            <w:r w:rsidR="00976F32">
              <w:rPr>
                <w:color w:val="000000" w:themeColor="text1"/>
                <w:sz w:val="18"/>
                <w:szCs w:val="18"/>
              </w:rPr>
              <w:t>‰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) rappresenta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 xml:space="preserve"> nuovamente, dopo un periodo di criticità,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un punto di 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 xml:space="preserve">forza del </w:t>
            </w:r>
            <w:proofErr w:type="spellStart"/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 xml:space="preserve">, con un valore simile o superiore a quelli degli Atenei degli altri </w:t>
            </w:r>
            <w:r w:rsidR="005C347F">
              <w:rPr>
                <w:rFonts w:cs="Lucida Sans Unicode"/>
                <w:color w:val="000000" w:themeColor="text1"/>
                <w:sz w:val="18"/>
                <w:szCs w:val="18"/>
              </w:rPr>
              <w:t xml:space="preserve">due 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gruppi.</w:t>
            </w:r>
          </w:p>
          <w:p w14:paraId="7D33D0BA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Indicatori sui laureati</w:t>
            </w:r>
          </w:p>
          <w:p w14:paraId="47DB5EC4" w14:textId="1D96B44F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 xml:space="preserve">iC02: </w:t>
            </w:r>
            <w:r w:rsidR="009E60CF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14:paraId="45CF4DF5" w14:textId="78CBD72E" w:rsidR="00154673" w:rsidRPr="009C5B8A" w:rsidRDefault="00BD0699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t>L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’indicatore iC02 (percentuale di laureati entro la durata normale del corso)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mostra nel 201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 un valore,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22,4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%, che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>interrompe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la tendenza positiva degli anni precedenti e fa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 xml:space="preserve">ulteriormente 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aumentare </w:t>
            </w:r>
            <w:r w:rsidR="006646BE">
              <w:rPr>
                <w:rFonts w:cs="Lucida Sans Unicode"/>
                <w:color w:val="000000" w:themeColor="text1"/>
                <w:sz w:val="18"/>
                <w:szCs w:val="18"/>
              </w:rPr>
              <w:t>la distanza con gli altri atenei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3CEE9828" w14:textId="77777777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iC11: Punto di debolezza</w:t>
            </w:r>
          </w:p>
          <w:p w14:paraId="284FFC71" w14:textId="717DAB73" w:rsidR="00154673" w:rsidRPr="009C5B8A" w:rsidRDefault="006646BE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t>Nel 201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nessun laureato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su 1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1</w:t>
            </w:r>
            <w:r>
              <w:rPr>
                <w:rFonts w:cs="Lucida Sans Unicode"/>
                <w:color w:val="000000" w:themeColor="text1"/>
                <w:sz w:val="18"/>
                <w:szCs w:val="18"/>
              </w:rPr>
              <w:t xml:space="preserve"> aveva conseguito almeno 12 cfu all’estero</w:t>
            </w:r>
            <w:r w:rsidR="005C347F">
              <w:rPr>
                <w:rFonts w:cs="Lucida Sans Unicode"/>
                <w:color w:val="000000" w:themeColor="text1"/>
                <w:sz w:val="18"/>
                <w:szCs w:val="18"/>
              </w:rPr>
              <w:t xml:space="preserve"> entro la durata normale del corso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 xml:space="preserve">, </w:t>
            </w:r>
            <w:r w:rsidR="00976F32">
              <w:rPr>
                <w:rFonts w:cs="Lucida Sans Unicode"/>
                <w:color w:val="000000" w:themeColor="text1"/>
                <w:sz w:val="18"/>
                <w:szCs w:val="18"/>
              </w:rPr>
              <w:t>con una diminuzione rispetto all’incremento dell’anno precedente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1F944096" w14:textId="77777777" w:rsidR="00154673" w:rsidRPr="001267C7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1267C7">
              <w:rPr>
                <w:rFonts w:cs="Lucida Sans Unicode"/>
                <w:color w:val="FF0000"/>
                <w:sz w:val="18"/>
                <w:szCs w:val="18"/>
                <w:u w:val="single"/>
              </w:rPr>
              <w:t xml:space="preserve">iC22: </w:t>
            </w:r>
            <w:r w:rsidR="001267C7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14:paraId="157E838D" w14:textId="46134809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Gli indicatori evidenziano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un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 xml:space="preserve"> aumento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 xml:space="preserve">del numero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di immatricolati che si laureano entro la durata normale del corso (iC22)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Il valore del 12,9% (11 studenti su 85) è pur tuttavia inferiore </w:t>
            </w:r>
            <w:r w:rsidR="0035363E">
              <w:rPr>
                <w:rFonts w:cs="Lucida Sans Unicode"/>
                <w:color w:val="000000" w:themeColor="text1"/>
                <w:sz w:val="18"/>
                <w:szCs w:val="18"/>
              </w:rPr>
              <w:t>– circa la metà - a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 xml:space="preserve"> quello degli altri Atenei.</w:t>
            </w:r>
          </w:p>
          <w:p w14:paraId="31896F85" w14:textId="21A4C891" w:rsidR="00154673" w:rsidRPr="009C5B8A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FF0000"/>
                <w:sz w:val="18"/>
                <w:szCs w:val="18"/>
                <w:u w:val="single"/>
              </w:rPr>
              <w:t>iC17: Punto di debolezza</w:t>
            </w:r>
          </w:p>
          <w:p w14:paraId="00881D1C" w14:textId="685E406C" w:rsidR="005F5E07" w:rsidRDefault="001267C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>
              <w:rPr>
                <w:rFonts w:cs="Lucida Sans Unicode"/>
                <w:color w:val="000000" w:themeColor="text1"/>
                <w:sz w:val="18"/>
                <w:szCs w:val="18"/>
              </w:rPr>
              <w:lastRenderedPageBreak/>
              <w:t>L’incremento del valore dell</w:t>
            </w:r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’indicatore iC17 (percentuale di immatricolati che si laureano entro un anno oltre la durata normale del corso nello stesso </w:t>
            </w:r>
            <w:proofErr w:type="spellStart"/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="00154673"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 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>non colma la differenza con gli altri Atenei del Centro e nazionali</w:t>
            </w:r>
            <w:r w:rsidR="005F5E07">
              <w:rPr>
                <w:rFonts w:cs="Lucida Sans Unicode"/>
                <w:color w:val="000000" w:themeColor="text1"/>
                <w:sz w:val="18"/>
                <w:szCs w:val="18"/>
              </w:rPr>
              <w:t>.</w:t>
            </w:r>
          </w:p>
          <w:p w14:paraId="00D15BD8" w14:textId="77777777" w:rsidR="001267C7" w:rsidRDefault="001267C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</w:p>
          <w:p w14:paraId="7ABD286F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Soddisfazione e occupabilità dei laureati</w:t>
            </w:r>
          </w:p>
          <w:p w14:paraId="45C53427" w14:textId="77777777"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iC06 / iC06BIS: Punto di forza</w:t>
            </w:r>
          </w:p>
          <w:p w14:paraId="396E9735" w14:textId="509E6121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Gli indicatori iC06 (percentuale di laureati occupati a un anno dal titolo che dichiarano di svolgere un'attività lavorativa o di formazione retribuita, valore nel 201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>55,0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%), iC06BIS (percentuale di laureati occupati a un anno dal titolo che dichiarano di svolgere un'attività lavorativa e regolamentata da un contratto, o di svolgere attività di formazione retribuita, valore nel 201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5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>5,0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 e iC06TER (percentuale di laureati occupati a un anno dal titolo non impegnati in formazione non retribuita che dichiarano di svolgere un'attività lavorativa e regolamentata da un contratto, valore nel 201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7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>8,6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%) hanno mostrato valori simili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 xml:space="preserve"> (iC06TER)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e spesso superiori </w:t>
            </w:r>
            <w:r w:rsidR="00744989">
              <w:rPr>
                <w:rFonts w:cs="Lucida Sans Unicode"/>
                <w:color w:val="000000" w:themeColor="text1"/>
                <w:sz w:val="18"/>
                <w:szCs w:val="18"/>
              </w:rPr>
              <w:t xml:space="preserve">(iC06 e iC06BIS) 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a quelli del Centro e nazionali, a dimostrazione che il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offre un alto grado di occupazione per i suoi laureati.</w:t>
            </w:r>
          </w:p>
          <w:p w14:paraId="62AB9A54" w14:textId="77777777" w:rsidR="00154673" w:rsidRPr="007550F7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</w:pPr>
            <w:r w:rsidRPr="007550F7">
              <w:rPr>
                <w:rFonts w:cs="Lucida Sans Unicode"/>
                <w:color w:val="000000" w:themeColor="text1"/>
                <w:sz w:val="18"/>
                <w:szCs w:val="18"/>
                <w:u w:val="single"/>
              </w:rPr>
              <w:t>iC26, iC26BIS, iC07, iC07BIS</w:t>
            </w:r>
          </w:p>
          <w:p w14:paraId="6C4C6CB1" w14:textId="77777777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Per questi indicatori non ci sono dati disponibili.</w:t>
            </w:r>
          </w:p>
          <w:p w14:paraId="4AF2BCE2" w14:textId="77777777"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iC18 / iC25: Punto di forza</w:t>
            </w:r>
          </w:p>
          <w:p w14:paraId="5D450A3C" w14:textId="17EBF974" w:rsidR="00154673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Per ciò che concerne la soddisfazione dei laureandi (indicatore iC25, percentuale di laureandi complessivamente soddisfatti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, valore 201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>93,8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 e iC18, percentuale di laureati che si iscriverebbero di nuovo allo stesso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, valore 201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89,</w:t>
            </w:r>
            <w:r w:rsidR="00640107">
              <w:rPr>
                <w:rFonts w:cs="Lucida Sans Unicode"/>
                <w:color w:val="000000" w:themeColor="text1"/>
                <w:sz w:val="18"/>
                <w:szCs w:val="18"/>
              </w:rPr>
              <w:t>6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%), i dati evidenziati dalla scheda di monitoraggio del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mostrano sempre valori superiori alle medie delle altre due zone di riferimento a conferma della qualità del percorso di laurea.</w:t>
            </w:r>
          </w:p>
          <w:p w14:paraId="3CA67B5C" w14:textId="77777777" w:rsidR="005F5E07" w:rsidRPr="009C5B8A" w:rsidRDefault="005F5E07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</w:p>
          <w:p w14:paraId="59D750E9" w14:textId="77777777" w:rsidR="00154673" w:rsidRPr="009C5B8A" w:rsidRDefault="00154673" w:rsidP="00154673">
            <w:pPr>
              <w:jc w:val="both"/>
              <w:rPr>
                <w:rFonts w:cs="Lucida Sans Unicode"/>
                <w:i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i/>
                <w:color w:val="000000" w:themeColor="text1"/>
                <w:sz w:val="18"/>
                <w:szCs w:val="18"/>
              </w:rPr>
              <w:t>Sostenibilità, consistenza e qualificazione della docenza</w:t>
            </w:r>
          </w:p>
          <w:p w14:paraId="3447E857" w14:textId="77777777" w:rsidR="00154673" w:rsidRPr="007550F7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</w:rPr>
            </w:pPr>
            <w:r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iC05:</w:t>
            </w:r>
            <w:r w:rsidRPr="007550F7">
              <w:rPr>
                <w:rFonts w:cs="Lucida Sans Unicode"/>
                <w:color w:val="FF0000"/>
                <w:sz w:val="18"/>
                <w:szCs w:val="18"/>
              </w:rPr>
              <w:t xml:space="preserve"> </w:t>
            </w:r>
            <w:r w:rsidR="009E60CF"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debolezza, trend positivo</w:t>
            </w:r>
          </w:p>
          <w:p w14:paraId="45A92873" w14:textId="00092D4B" w:rsidR="009E60CF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Il rapporto studenti regolari/docenti (indicatore iC05, valore 201</w:t>
            </w:r>
            <w:r w:rsidR="003F3DAE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</w:t>
            </w:r>
            <w:r w:rsidR="001267C7">
              <w:rPr>
                <w:rFonts w:cs="Lucida Sans Unicode"/>
                <w:color w:val="000000" w:themeColor="text1"/>
                <w:sz w:val="18"/>
                <w:szCs w:val="18"/>
              </w:rPr>
              <w:t>12,</w:t>
            </w:r>
            <w:r w:rsidR="003F3DAE">
              <w:rPr>
                <w:rFonts w:cs="Lucida Sans Unicode"/>
                <w:color w:val="000000" w:themeColor="text1"/>
                <w:sz w:val="18"/>
                <w:szCs w:val="18"/>
              </w:rPr>
              <w:t>2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), indicativo della numerosità della popolazione studentesca “in corso” rispetto al corpo docenti (professori a tempo indeterminato, ricercatori a tempo indeterminato, ricercatori di tipo a e tipo b), è </w:t>
            </w:r>
            <w:r w:rsidR="006020C8">
              <w:rPr>
                <w:rFonts w:cs="Lucida Sans Unicode"/>
                <w:color w:val="000000" w:themeColor="text1"/>
                <w:sz w:val="18"/>
                <w:szCs w:val="18"/>
              </w:rPr>
              <w:t>in lieve calo rispetto agli anni passati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. </w:t>
            </w:r>
            <w:r w:rsidR="003F3DAE">
              <w:rPr>
                <w:rFonts w:cs="Lucida Sans Unicode"/>
                <w:color w:val="000000" w:themeColor="text1"/>
                <w:sz w:val="18"/>
                <w:szCs w:val="18"/>
              </w:rPr>
              <w:t>Il dato è comunque superiore a quello di altri Atenei.</w:t>
            </w:r>
          </w:p>
          <w:p w14:paraId="05818B43" w14:textId="77777777" w:rsidR="00154673" w:rsidRPr="009C5B8A" w:rsidRDefault="00154673" w:rsidP="00154673">
            <w:pPr>
              <w:jc w:val="both"/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</w:pPr>
            <w:r w:rsidRPr="009C5B8A">
              <w:rPr>
                <w:rFonts w:cs="Lucida Sans Unicode"/>
                <w:color w:val="538135" w:themeColor="accent6" w:themeShade="BF"/>
                <w:sz w:val="18"/>
                <w:szCs w:val="18"/>
                <w:u w:val="single"/>
              </w:rPr>
              <w:t>iC08: Punto di forza</w:t>
            </w:r>
          </w:p>
          <w:p w14:paraId="55C847C1" w14:textId="3A85321F" w:rsidR="00154673" w:rsidRPr="009C5B8A" w:rsidRDefault="00154673" w:rsidP="00154673">
            <w:pPr>
              <w:jc w:val="both"/>
              <w:rPr>
                <w:rFonts w:cs="Lucida Sans Unicode"/>
                <w:color w:val="000000" w:themeColor="text1"/>
                <w:sz w:val="18"/>
                <w:szCs w:val="18"/>
              </w:rPr>
            </w:pP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L’indicatore iC08, che valuta la coerenza della composizione dei docenti di riferimento rispetto ai settori scientifico-disciplinari di base e caratterizzanti (valore 201</w:t>
            </w:r>
            <w:r w:rsidR="00B21D12">
              <w:rPr>
                <w:rFonts w:cs="Lucida Sans Unicode"/>
                <w:color w:val="000000" w:themeColor="text1"/>
                <w:sz w:val="18"/>
                <w:szCs w:val="18"/>
              </w:rPr>
              <w:t>9</w:t>
            </w:r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: 100%), evidenzia che il </w:t>
            </w:r>
            <w:proofErr w:type="spellStart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9C5B8A">
              <w:rPr>
                <w:rFonts w:cs="Lucida Sans Unicode"/>
                <w:color w:val="000000" w:themeColor="text1"/>
                <w:sz w:val="18"/>
                <w:szCs w:val="18"/>
              </w:rPr>
              <w:t xml:space="preserve"> ha conseguito dei valori medi superiori a quelli delle altre zone geografiche.</w:t>
            </w:r>
          </w:p>
          <w:p w14:paraId="7F759CB6" w14:textId="2C92FBBD" w:rsidR="00154673" w:rsidRPr="007550F7" w:rsidRDefault="00154673" w:rsidP="00154673">
            <w:pPr>
              <w:jc w:val="both"/>
              <w:rPr>
                <w:rFonts w:cs="Lucida Sans Unicode"/>
                <w:color w:val="FF0000"/>
                <w:sz w:val="18"/>
                <w:szCs w:val="18"/>
                <w:u w:val="single"/>
              </w:rPr>
            </w:pPr>
            <w:r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 xml:space="preserve">iC27: </w:t>
            </w:r>
            <w:r w:rsidR="009E60CF" w:rsidRPr="007550F7">
              <w:rPr>
                <w:rFonts w:cs="Lucida Sans Unicode"/>
                <w:color w:val="FF0000"/>
                <w:sz w:val="18"/>
                <w:szCs w:val="18"/>
                <w:u w:val="single"/>
              </w:rPr>
              <w:t>Punto di debolezza</w:t>
            </w:r>
          </w:p>
          <w:p w14:paraId="5E09FE02" w14:textId="728231F9" w:rsidR="00154673" w:rsidRPr="006020C8" w:rsidRDefault="00154673" w:rsidP="00154673">
            <w:pPr>
              <w:pStyle w:val="Default"/>
              <w:mirrorIndents/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</w:pP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L’indicatore iC27 (rapporto studenti iscritti al 1° anno/docenti degli insegnamenti del 1° anno pesato per le ore di docenza) evidenzia in tutti e tre gli anni considerati valori più alti rispetto a quelli di riferimento (valore 201</w:t>
            </w:r>
            <w:r w:rsidR="0076753F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9</w:t>
            </w: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: 3</w:t>
            </w:r>
            <w:r w:rsidR="0076753F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4,4</w:t>
            </w:r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 xml:space="preserve">). Se ne deduce che gli studenti del </w:t>
            </w:r>
            <w:proofErr w:type="spellStart"/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>CdS</w:t>
            </w:r>
            <w:proofErr w:type="spellEnd"/>
            <w:r w:rsidRPr="006020C8">
              <w:rPr>
                <w:rFonts w:ascii="Times New Roman" w:hAnsi="Times New Roman" w:cs="Lucida Sans Unicode"/>
                <w:color w:val="000000" w:themeColor="text1"/>
                <w:sz w:val="18"/>
                <w:szCs w:val="18"/>
              </w:rPr>
              <w:t xml:space="preserve"> usufruiscono di risorse di docenza minori rispetto alla media degli altri Atenei. La situazione è da imputare alla forte crescita della popolazione studentesca nel periodo considerato, alla quale non ha fatto riscontro un corrispondente aumento del personale docente.</w:t>
            </w:r>
          </w:p>
          <w:p w14:paraId="7CCF1EE2" w14:textId="77777777" w:rsidR="00CF6ADA" w:rsidRPr="005E48B6" w:rsidRDefault="00CF6ADA" w:rsidP="00CE0FAD">
            <w:pPr>
              <w:pStyle w:val="Default"/>
              <w:mirrorIndents/>
              <w:rPr>
                <w:color w:val="auto"/>
                <w:sz w:val="16"/>
                <w:szCs w:val="22"/>
                <w:lang w:val="sv-SE"/>
              </w:rPr>
            </w:pPr>
          </w:p>
          <w:p w14:paraId="30E0ACED" w14:textId="77777777" w:rsidR="00CF6ADA" w:rsidRPr="00A87E8E" w:rsidRDefault="00CF6ADA" w:rsidP="00CE0FAD">
            <w:pPr>
              <w:pStyle w:val="Default"/>
              <w:mirrorIndents/>
              <w:rPr>
                <w:i/>
                <w:sz w:val="16"/>
                <w:szCs w:val="18"/>
                <w:lang w:val="sv-SE"/>
              </w:rPr>
            </w:pPr>
          </w:p>
        </w:tc>
      </w:tr>
    </w:tbl>
    <w:p w14:paraId="6FF65DA7" w14:textId="77777777" w:rsidR="009A5FDD" w:rsidRDefault="009A5FDD" w:rsidP="001C5ED9">
      <w:pPr>
        <w:spacing w:after="0"/>
        <w:mirrorIndents/>
        <w:rPr>
          <w:rFonts w:ascii="Segoe UI" w:hAnsi="Segoe UI" w:cs="Segoe UI"/>
          <w:sz w:val="20"/>
          <w:szCs w:val="20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92"/>
      </w:tblGrid>
      <w:tr w:rsidR="009A5FDD" w:rsidRPr="005E48B6" w14:paraId="09DAE70D" w14:textId="77777777" w:rsidTr="00B27CA2">
        <w:tc>
          <w:tcPr>
            <w:tcW w:w="9392" w:type="dxa"/>
            <w:shd w:val="clear" w:color="auto" w:fill="D5DCE4"/>
            <w:vAlign w:val="center"/>
          </w:tcPr>
          <w:p w14:paraId="450271F7" w14:textId="77777777" w:rsidR="009A5FDD" w:rsidRPr="005E48B6" w:rsidRDefault="009A5FDD" w:rsidP="00B27CA2">
            <w:pPr>
              <w:spacing w:line="216" w:lineRule="auto"/>
              <w:mirrorIndents/>
              <w:rPr>
                <w:rFonts w:ascii="Segoe UI" w:hAnsi="Segoe UI" w:cs="Segoe UI"/>
                <w:b/>
                <w:sz w:val="22"/>
                <w:szCs w:val="28"/>
              </w:rPr>
            </w:pPr>
            <w:r>
              <w:rPr>
                <w:rFonts w:ascii="Segoe UI" w:hAnsi="Segoe UI" w:cs="Segoe UI"/>
                <w:b/>
                <w:sz w:val="22"/>
                <w:szCs w:val="28"/>
              </w:rPr>
              <w:t>R</w:t>
            </w:r>
            <w:r w:rsidRPr="005E48B6">
              <w:rPr>
                <w:rFonts w:ascii="Segoe UI" w:hAnsi="Segoe UI" w:cs="Segoe UI"/>
                <w:b/>
                <w:sz w:val="22"/>
                <w:szCs w:val="28"/>
              </w:rPr>
              <w:t>I</w:t>
            </w:r>
            <w:r>
              <w:rPr>
                <w:rFonts w:ascii="Segoe UI" w:hAnsi="Segoe UI" w:cs="Segoe UI"/>
                <w:b/>
                <w:sz w:val="22"/>
                <w:szCs w:val="28"/>
              </w:rPr>
              <w:t>EPILOGO DEGLI INDICATORI USATI NELLA SMA</w:t>
            </w:r>
          </w:p>
        </w:tc>
      </w:tr>
    </w:tbl>
    <w:p w14:paraId="2DDE9ACA" w14:textId="77777777" w:rsidR="009A5FDD" w:rsidRDefault="009A5FDD" w:rsidP="009A5FDD">
      <w:pPr>
        <w:spacing w:after="0"/>
        <w:mirrorIndents/>
        <w:rPr>
          <w:rFonts w:ascii="Segoe UI" w:hAnsi="Segoe UI" w:cs="Segoe UI"/>
          <w:i/>
          <w:sz w:val="16"/>
          <w:szCs w:val="18"/>
        </w:rPr>
      </w:pPr>
      <w:r w:rsidRPr="00783743">
        <w:rPr>
          <w:rFonts w:ascii="Segoe UI" w:hAnsi="Segoe UI" w:cs="Segoe UI"/>
          <w:i/>
          <w:sz w:val="16"/>
          <w:szCs w:val="18"/>
        </w:rPr>
        <w:t>(</w:t>
      </w:r>
      <w:r>
        <w:rPr>
          <w:rFonts w:ascii="Segoe UI" w:hAnsi="Segoe UI" w:cs="Segoe UI"/>
          <w:i/>
          <w:sz w:val="16"/>
          <w:szCs w:val="18"/>
        </w:rPr>
        <w:t>I</w:t>
      </w:r>
      <w:r w:rsidRPr="00783743">
        <w:rPr>
          <w:rFonts w:ascii="Segoe UI" w:hAnsi="Segoe UI" w:cs="Segoe UI"/>
          <w:i/>
          <w:sz w:val="16"/>
          <w:szCs w:val="18"/>
        </w:rPr>
        <w:t>ndica</w:t>
      </w:r>
      <w:r>
        <w:rPr>
          <w:rFonts w:ascii="Segoe UI" w:hAnsi="Segoe UI" w:cs="Segoe UI"/>
          <w:i/>
          <w:sz w:val="16"/>
          <w:szCs w:val="18"/>
        </w:rPr>
        <w:t>re con</w:t>
      </w:r>
      <w:r w:rsidRPr="00783743">
        <w:rPr>
          <w:rFonts w:ascii="Segoe UI" w:hAnsi="Segoe UI" w:cs="Segoe UI"/>
          <w:i/>
          <w:sz w:val="16"/>
          <w:szCs w:val="18"/>
        </w:rPr>
        <w:t xml:space="preserve"> </w:t>
      </w:r>
      <w:r>
        <w:rPr>
          <w:rFonts w:ascii="Segoe UI" w:hAnsi="Segoe UI" w:cs="Segoe UI"/>
          <w:i/>
          <w:sz w:val="16"/>
          <w:szCs w:val="18"/>
        </w:rPr>
        <w:t>una crocetta il tenore degli indicatori scelti per il commento, ai fini di successive analisi da parte di tutti gli attori convolti nel Sistema AQ)</w:t>
      </w:r>
    </w:p>
    <w:p w14:paraId="4FE512A5" w14:textId="77777777" w:rsidR="009A5FDD" w:rsidRPr="003379B9" w:rsidRDefault="009A5FDD" w:rsidP="009A5FDD">
      <w:pPr>
        <w:spacing w:after="0"/>
        <w:mirrorIndents/>
        <w:rPr>
          <w:rFonts w:ascii="Segoe UI" w:hAnsi="Segoe UI" w:cs="Segoe UI"/>
          <w:b/>
          <w:sz w:val="16"/>
          <w:szCs w:val="18"/>
          <w:u w:val="single"/>
        </w:rPr>
      </w:pPr>
      <w:r w:rsidRPr="003379B9">
        <w:rPr>
          <w:rFonts w:ascii="Segoe UI" w:hAnsi="Segoe UI" w:cs="Segoe UI"/>
          <w:b/>
          <w:sz w:val="16"/>
          <w:szCs w:val="18"/>
          <w:u w:val="single"/>
        </w:rPr>
        <w:t>Nota Bene:</w:t>
      </w:r>
    </w:p>
    <w:p w14:paraId="220926ED" w14:textId="77777777" w:rsidR="009A5FDD" w:rsidRPr="003379B9" w:rsidRDefault="009A5FDD" w:rsidP="009A5FDD">
      <w:pPr>
        <w:spacing w:after="0"/>
        <w:mirrorIndents/>
        <w:rPr>
          <w:rFonts w:ascii="Segoe UI" w:hAnsi="Segoe UI" w:cs="Segoe UI"/>
          <w:sz w:val="16"/>
          <w:szCs w:val="18"/>
        </w:rPr>
      </w:pPr>
      <w:r w:rsidRPr="003379B9">
        <w:rPr>
          <w:rFonts w:ascii="Segoe UI" w:hAnsi="Segoe UI" w:cs="Segoe UI"/>
          <w:sz w:val="16"/>
          <w:szCs w:val="18"/>
        </w:rPr>
        <w:t>punto di forza: indicatore con valore particolarmente positivo che si ritiene utile menzionare;</w:t>
      </w:r>
    </w:p>
    <w:p w14:paraId="5427038D" w14:textId="77777777" w:rsidR="009A5FDD" w:rsidRPr="003379B9" w:rsidRDefault="009A5FDD" w:rsidP="009A5FDD">
      <w:pPr>
        <w:mirrorIndents/>
        <w:rPr>
          <w:rFonts w:ascii="Segoe UI" w:hAnsi="Segoe UI" w:cs="Segoe UI"/>
          <w:sz w:val="16"/>
          <w:szCs w:val="18"/>
        </w:rPr>
      </w:pPr>
      <w:r w:rsidRPr="003379B9">
        <w:rPr>
          <w:rFonts w:ascii="Segoe UI" w:hAnsi="Segoe UI" w:cs="Segoe UI"/>
          <w:sz w:val="16"/>
          <w:szCs w:val="18"/>
        </w:rPr>
        <w:t>punto di debolezza: indicatore con valore critico che necessita di ulteriore analisi per individuare possibili cause/soluzioni</w:t>
      </w:r>
    </w:p>
    <w:p w14:paraId="77C00D90" w14:textId="77777777" w:rsidR="009A5FDD" w:rsidRDefault="009A5FDD" w:rsidP="009A5FDD">
      <w:pPr>
        <w:mirrorIndents/>
        <w:rPr>
          <w:rFonts w:ascii="Segoe UI" w:hAnsi="Segoe UI" w:cs="Segoe UI"/>
          <w:i/>
          <w:sz w:val="16"/>
          <w:szCs w:val="18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3422"/>
        <w:gridCol w:w="435"/>
        <w:gridCol w:w="435"/>
      </w:tblGrid>
      <w:tr w:rsidR="009A5FDD" w14:paraId="2CF15FD6" w14:textId="77777777" w:rsidTr="00B27CA2">
        <w:trPr>
          <w:cantSplit/>
          <w:trHeight w:val="1814"/>
          <w:tblHeader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1DD5493F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1A67BA26" w14:textId="77777777" w:rsidR="009A5FDD" w:rsidRPr="00C82ED8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EA7CBF">
              <w:rPr>
                <w:rFonts w:ascii="Segoe UI" w:hAnsi="Segoe UI" w:cs="Segoe UI"/>
                <w:b/>
              </w:rPr>
              <w:t>Indicatori u</w:t>
            </w:r>
            <w:r>
              <w:rPr>
                <w:rFonts w:ascii="Segoe UI" w:hAnsi="Segoe UI" w:cs="Segoe UI"/>
                <w:b/>
              </w:rPr>
              <w:t>s</w:t>
            </w:r>
            <w:r w:rsidRPr="00EA7CBF">
              <w:rPr>
                <w:rFonts w:ascii="Segoe UI" w:hAnsi="Segoe UI" w:cs="Segoe UI"/>
                <w:b/>
              </w:rPr>
              <w:t>ati</w:t>
            </w:r>
            <w:r>
              <w:rPr>
                <w:rFonts w:ascii="Segoe UI" w:hAnsi="Segoe UI" w:cs="Segoe UI"/>
                <w:b/>
              </w:rPr>
              <w:t xml:space="preserve"> nel commento</w:t>
            </w:r>
          </w:p>
        </w:tc>
        <w:tc>
          <w:tcPr>
            <w:tcW w:w="435" w:type="dxa"/>
            <w:textDirection w:val="btLr"/>
            <w:vAlign w:val="center"/>
          </w:tcPr>
          <w:p w14:paraId="185D097E" w14:textId="77777777" w:rsidR="009A5FDD" w:rsidRDefault="009A5FDD" w:rsidP="00B27CA2">
            <w:pPr>
              <w:ind w:left="113" w:right="113"/>
              <w:mirrorIndents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Punto di forza</w:t>
            </w:r>
          </w:p>
        </w:tc>
        <w:tc>
          <w:tcPr>
            <w:tcW w:w="435" w:type="dxa"/>
            <w:textDirection w:val="btLr"/>
            <w:vAlign w:val="center"/>
          </w:tcPr>
          <w:p w14:paraId="4441D767" w14:textId="77777777" w:rsidR="009A5FDD" w:rsidRDefault="009A5FDD" w:rsidP="00B27CA2">
            <w:pPr>
              <w:ind w:left="113" w:right="113"/>
              <w:mirrorIndents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Punto di debolezza</w:t>
            </w:r>
          </w:p>
        </w:tc>
      </w:tr>
      <w:tr w:rsidR="009A5FDD" w14:paraId="75C0D2A0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42F67147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0a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03649726" w14:textId="77777777" w:rsidR="009A5FDD" w:rsidRPr="003258D6" w:rsidRDefault="009A5FDD" w:rsidP="00B27CA2">
            <w:pPr>
              <w:mirrorIndents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82ED8">
              <w:rPr>
                <w:rFonts w:ascii="Segoe UI" w:hAnsi="Segoe UI" w:cs="Segoe UI"/>
                <w:sz w:val="16"/>
              </w:rPr>
              <w:t>Avvii di carri</w:t>
            </w:r>
            <w:r>
              <w:rPr>
                <w:rFonts w:ascii="Segoe UI" w:hAnsi="Segoe UI" w:cs="Segoe UI"/>
                <w:sz w:val="16"/>
              </w:rPr>
              <w:t xml:space="preserve">era al primo anno </w:t>
            </w:r>
            <w:r w:rsidRPr="00901AEB">
              <w:rPr>
                <w:rFonts w:ascii="Segoe UI" w:hAnsi="Segoe UI" w:cs="Segoe UI"/>
                <w:sz w:val="16"/>
              </w:rPr>
              <w:t>(L; LMCU; LM)</w:t>
            </w:r>
          </w:p>
        </w:tc>
        <w:tc>
          <w:tcPr>
            <w:tcW w:w="435" w:type="dxa"/>
            <w:vAlign w:val="center"/>
          </w:tcPr>
          <w:p w14:paraId="450744ED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2EC13CF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227DD909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015D2995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0b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6E10EA81" w14:textId="77777777" w:rsidR="009A5FDD" w:rsidRPr="003258D6" w:rsidRDefault="009A5FDD" w:rsidP="00B27CA2">
            <w:pPr>
              <w:mirrorIndents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</w:rPr>
              <w:t>Immatricolati puri (L; LMCU</w:t>
            </w:r>
            <w:r w:rsidRPr="00901AEB">
              <w:rPr>
                <w:rFonts w:ascii="Segoe UI" w:hAnsi="Segoe UI" w:cs="Segoe UI"/>
                <w:sz w:val="16"/>
              </w:rPr>
              <w:t>)</w:t>
            </w:r>
          </w:p>
        </w:tc>
        <w:tc>
          <w:tcPr>
            <w:tcW w:w="435" w:type="dxa"/>
            <w:vAlign w:val="center"/>
          </w:tcPr>
          <w:p w14:paraId="1A014B9B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EBE382D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558AAF39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50FBFB12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0c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6DDBC258" w14:textId="77777777" w:rsidR="009A5FDD" w:rsidRPr="003258D6" w:rsidRDefault="009A5FDD" w:rsidP="00B27CA2">
            <w:pPr>
              <w:mirrorIndents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82ED8">
              <w:rPr>
                <w:rFonts w:ascii="Segoe UI" w:hAnsi="Segoe UI" w:cs="Segoe UI"/>
                <w:sz w:val="16"/>
              </w:rPr>
              <w:t>Iscritti per la prima volta a LM</w:t>
            </w:r>
            <w:r>
              <w:rPr>
                <w:rFonts w:ascii="Segoe UI" w:hAnsi="Segoe UI" w:cs="Segoe UI"/>
                <w:sz w:val="16"/>
              </w:rPr>
              <w:t xml:space="preserve"> (LM)</w:t>
            </w:r>
          </w:p>
        </w:tc>
        <w:tc>
          <w:tcPr>
            <w:tcW w:w="435" w:type="dxa"/>
            <w:vAlign w:val="center"/>
          </w:tcPr>
          <w:p w14:paraId="22BB9DE3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2A4C0F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23E2AFC8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4470F719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0d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3CC4484F" w14:textId="77777777" w:rsidR="009A5FDD" w:rsidRPr="003258D6" w:rsidRDefault="009A5FDD" w:rsidP="00B27CA2">
            <w:pPr>
              <w:mirrorIndents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</w:rPr>
              <w:t xml:space="preserve">Iscritti </w:t>
            </w:r>
            <w:r w:rsidRPr="00901AEB">
              <w:rPr>
                <w:rFonts w:ascii="Segoe UI" w:hAnsi="Segoe UI" w:cs="Segoe UI"/>
                <w:sz w:val="16"/>
              </w:rPr>
              <w:t>(L; LMCU; LM)</w:t>
            </w:r>
          </w:p>
        </w:tc>
        <w:tc>
          <w:tcPr>
            <w:tcW w:w="435" w:type="dxa"/>
            <w:vAlign w:val="center"/>
          </w:tcPr>
          <w:p w14:paraId="5116CA73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261901D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53C3406C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4A7E6040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0e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6D3F53DC" w14:textId="77777777" w:rsidR="009A5FDD" w:rsidRPr="003258D6" w:rsidRDefault="009A5FDD" w:rsidP="00B27CA2">
            <w:pPr>
              <w:mirrorIndents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82ED8">
              <w:rPr>
                <w:rFonts w:ascii="Segoe UI" w:hAnsi="Segoe UI" w:cs="Segoe UI"/>
                <w:sz w:val="16"/>
              </w:rPr>
              <w:t>Iscritti Regolar</w:t>
            </w:r>
            <w:r>
              <w:rPr>
                <w:rFonts w:ascii="Segoe UI" w:hAnsi="Segoe UI" w:cs="Segoe UI"/>
                <w:sz w:val="16"/>
              </w:rPr>
              <w:t xml:space="preserve">i ai fini del costo standard </w:t>
            </w:r>
            <w:r w:rsidRPr="00901AEB">
              <w:rPr>
                <w:rFonts w:ascii="Segoe UI" w:hAnsi="Segoe UI" w:cs="Segoe UI"/>
                <w:sz w:val="16"/>
              </w:rPr>
              <w:t>(L; LMCU; LM)</w:t>
            </w:r>
          </w:p>
        </w:tc>
        <w:tc>
          <w:tcPr>
            <w:tcW w:w="435" w:type="dxa"/>
            <w:vAlign w:val="center"/>
          </w:tcPr>
          <w:p w14:paraId="31810C3E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EBF80F6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09CC0270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048B4E06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994E65">
              <w:rPr>
                <w:rFonts w:ascii="Segoe UI" w:hAnsi="Segoe UI" w:cs="Segoe UI"/>
                <w:sz w:val="16"/>
              </w:rPr>
              <w:lastRenderedPageBreak/>
              <w:t>iC0</w:t>
            </w:r>
            <w:r>
              <w:rPr>
                <w:rFonts w:ascii="Segoe UI" w:hAnsi="Segoe UI" w:cs="Segoe UI"/>
                <w:sz w:val="16"/>
              </w:rPr>
              <w:t>0f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6F3CE709" w14:textId="77777777" w:rsidR="009A5FDD" w:rsidRPr="003258D6" w:rsidRDefault="009A5FDD" w:rsidP="00B27CA2">
            <w:pPr>
              <w:mirrorIndents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82ED8">
              <w:rPr>
                <w:rFonts w:ascii="Segoe UI" w:hAnsi="Segoe UI" w:cs="Segoe UI"/>
                <w:sz w:val="16"/>
              </w:rPr>
              <w:t>Iscr</w:t>
            </w:r>
            <w:r>
              <w:rPr>
                <w:rFonts w:ascii="Segoe UI" w:hAnsi="Segoe UI" w:cs="Segoe UI"/>
                <w:sz w:val="16"/>
              </w:rPr>
              <w:t xml:space="preserve">itti Regolari ai fini del CSTD, </w:t>
            </w:r>
            <w:r w:rsidRPr="00C82ED8">
              <w:rPr>
                <w:rFonts w:ascii="Segoe UI" w:hAnsi="Segoe UI" w:cs="Segoe UI"/>
                <w:sz w:val="16"/>
              </w:rPr>
              <w:t>immatric</w:t>
            </w:r>
            <w:r>
              <w:rPr>
                <w:rFonts w:ascii="Segoe UI" w:hAnsi="Segoe UI" w:cs="Segoe UI"/>
                <w:sz w:val="16"/>
              </w:rPr>
              <w:t xml:space="preserve">olati puri al </w:t>
            </w:r>
            <w:proofErr w:type="spellStart"/>
            <w:r>
              <w:rPr>
                <w:rFonts w:ascii="Segoe UI" w:hAnsi="Segoe UI" w:cs="Segoe UI"/>
                <w:sz w:val="16"/>
              </w:rPr>
              <w:t>CdS</w:t>
            </w:r>
            <w:proofErr w:type="spellEnd"/>
            <w:r>
              <w:rPr>
                <w:rFonts w:ascii="Segoe UI" w:hAnsi="Segoe UI" w:cs="Segoe UI"/>
                <w:sz w:val="16"/>
              </w:rPr>
              <w:t xml:space="preserve"> in oggetto </w:t>
            </w:r>
            <w:r w:rsidRPr="00901AEB">
              <w:rPr>
                <w:rFonts w:ascii="Segoe UI" w:hAnsi="Segoe UI" w:cs="Segoe UI"/>
                <w:sz w:val="16"/>
              </w:rPr>
              <w:t>(L; LMCU; LM)</w:t>
            </w:r>
          </w:p>
        </w:tc>
        <w:tc>
          <w:tcPr>
            <w:tcW w:w="435" w:type="dxa"/>
            <w:vAlign w:val="center"/>
          </w:tcPr>
          <w:p w14:paraId="0E784094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6522E6E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0054C27D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7286394F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iC00g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22517580" w14:textId="77777777" w:rsidR="009A5FDD" w:rsidRPr="00C82ED8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L</w:t>
            </w:r>
            <w:r w:rsidRPr="00EC3FB1">
              <w:rPr>
                <w:rFonts w:ascii="Segoe UI" w:hAnsi="Segoe UI" w:cs="Segoe UI"/>
                <w:sz w:val="16"/>
              </w:rPr>
              <w:t>aureati (L; LM; LMCU) entro la durata normale del corso</w:t>
            </w:r>
          </w:p>
        </w:tc>
        <w:tc>
          <w:tcPr>
            <w:tcW w:w="435" w:type="dxa"/>
            <w:vAlign w:val="center"/>
          </w:tcPr>
          <w:p w14:paraId="2A157543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44042F1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2DFCAE29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shd w:val="clear" w:color="auto" w:fill="auto"/>
            <w:vAlign w:val="center"/>
          </w:tcPr>
          <w:p w14:paraId="4EB5EBF5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iC00h</w:t>
            </w:r>
          </w:p>
        </w:tc>
        <w:tc>
          <w:tcPr>
            <w:tcW w:w="3422" w:type="dxa"/>
            <w:tcBorders>
              <w:left w:val="nil"/>
            </w:tcBorders>
            <w:shd w:val="clear" w:color="auto" w:fill="auto"/>
            <w:vAlign w:val="center"/>
          </w:tcPr>
          <w:p w14:paraId="3429F8D6" w14:textId="77777777" w:rsidR="009A5FDD" w:rsidRPr="00C82ED8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L</w:t>
            </w:r>
            <w:r w:rsidRPr="00FA7430">
              <w:rPr>
                <w:rFonts w:ascii="Segoe UI" w:hAnsi="Segoe UI" w:cs="Segoe UI"/>
                <w:sz w:val="16"/>
              </w:rPr>
              <w:t>aureati (L; LM; LMCU)</w:t>
            </w:r>
          </w:p>
        </w:tc>
        <w:tc>
          <w:tcPr>
            <w:tcW w:w="435" w:type="dxa"/>
            <w:vAlign w:val="center"/>
          </w:tcPr>
          <w:p w14:paraId="493C020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E25DF85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A5FDD" w14:paraId="39B28398" w14:textId="77777777" w:rsidTr="00B27CA2">
        <w:trPr>
          <w:trHeight w:val="425"/>
          <w:jc w:val="center"/>
        </w:trPr>
        <w:tc>
          <w:tcPr>
            <w:tcW w:w="5148" w:type="dxa"/>
            <w:gridSpan w:val="4"/>
            <w:shd w:val="clear" w:color="auto" w:fill="3366FF"/>
            <w:vAlign w:val="center"/>
          </w:tcPr>
          <w:p w14:paraId="51B22140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3258D6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GRUPPO A – INDICATORI RELATIVI ALLA DIDATTICA</w:t>
            </w:r>
          </w:p>
        </w:tc>
      </w:tr>
      <w:tr w:rsidR="009A5FDD" w14:paraId="25ABC673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06F34EA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iC01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154DAE8E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CA16B9">
              <w:rPr>
                <w:rFonts w:ascii="Segoe UI" w:hAnsi="Segoe UI" w:cs="Segoe UI"/>
                <w:sz w:val="16"/>
              </w:rPr>
              <w:t xml:space="preserve">Percentuale di studenti iscritti entro la durata normale del </w:t>
            </w:r>
            <w:proofErr w:type="spellStart"/>
            <w:r w:rsidRPr="00CA16B9">
              <w:rPr>
                <w:rFonts w:ascii="Segoe UI" w:hAnsi="Segoe UI" w:cs="Segoe UI"/>
                <w:sz w:val="16"/>
              </w:rPr>
              <w:t>CdS</w:t>
            </w:r>
            <w:proofErr w:type="spellEnd"/>
            <w:r w:rsidRPr="00CA16B9">
              <w:rPr>
                <w:rFonts w:ascii="Segoe UI" w:hAnsi="Segoe UI" w:cs="Segoe UI"/>
                <w:sz w:val="16"/>
              </w:rPr>
              <w:t xml:space="preserve"> che abbiano acquisito almeno 40 CFU </w:t>
            </w:r>
            <w:proofErr w:type="spellStart"/>
            <w:r w:rsidRPr="00CA16B9">
              <w:rPr>
                <w:rFonts w:ascii="Segoe UI" w:hAnsi="Segoe UI" w:cs="Segoe UI"/>
                <w:sz w:val="16"/>
              </w:rPr>
              <w:t>nell’a.s.</w:t>
            </w:r>
            <w:proofErr w:type="spellEnd"/>
          </w:p>
        </w:tc>
        <w:tc>
          <w:tcPr>
            <w:tcW w:w="435" w:type="dxa"/>
            <w:vAlign w:val="center"/>
          </w:tcPr>
          <w:p w14:paraId="602E443E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9FCE360" w14:textId="64E091B3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268B1009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49E8E4D2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iC02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069F2B3A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901AEB">
              <w:rPr>
                <w:rFonts w:ascii="Segoe UI" w:hAnsi="Segoe UI" w:cs="Segoe UI"/>
                <w:sz w:val="16"/>
              </w:rPr>
              <w:t>Percentuale di laureati (L; LM; LMCU) entro la durata normale del corso</w:t>
            </w:r>
          </w:p>
        </w:tc>
        <w:tc>
          <w:tcPr>
            <w:tcW w:w="435" w:type="dxa"/>
            <w:vAlign w:val="center"/>
          </w:tcPr>
          <w:p w14:paraId="234A08DE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A42FA59" w14:textId="7FA9F339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1973A16F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3FF2EBBB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iC03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54A4331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901AEB">
              <w:rPr>
                <w:rFonts w:ascii="Segoe UI" w:hAnsi="Segoe UI" w:cs="Segoe UI"/>
                <w:sz w:val="16"/>
              </w:rPr>
              <w:t>Percentuale di iscritti al primo anno (L, LMCU) provenienti da altre Regioni</w:t>
            </w:r>
          </w:p>
        </w:tc>
        <w:tc>
          <w:tcPr>
            <w:tcW w:w="435" w:type="dxa"/>
            <w:vAlign w:val="center"/>
          </w:tcPr>
          <w:p w14:paraId="6D009BF8" w14:textId="25743EA1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  <w:tc>
          <w:tcPr>
            <w:tcW w:w="435" w:type="dxa"/>
            <w:vAlign w:val="center"/>
          </w:tcPr>
          <w:p w14:paraId="4B6C6BE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30F24505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0404DB1F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iC04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956E5CA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7B7FB8">
              <w:rPr>
                <w:rFonts w:ascii="Segoe UI" w:hAnsi="Segoe UI" w:cs="Segoe UI"/>
                <w:sz w:val="16"/>
              </w:rPr>
              <w:t>Percentuale iscritti al primo anno (LM) laureati in altro Ateneo</w:t>
            </w:r>
          </w:p>
        </w:tc>
        <w:tc>
          <w:tcPr>
            <w:tcW w:w="435" w:type="dxa"/>
            <w:vAlign w:val="center"/>
          </w:tcPr>
          <w:p w14:paraId="25BA52B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803481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68C15248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594EAB8E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iC05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A183F27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7B7FB8">
              <w:rPr>
                <w:rFonts w:ascii="Segoe UI" w:hAnsi="Segoe UI" w:cs="Segoe UI"/>
                <w:sz w:val="16"/>
              </w:rPr>
              <w:t>Rapporto studenti regolari/docenti (professori a tempo indeterminato, ricercatori a tempo indeterminato, ricercatori di tipo a e tipo b)</w:t>
            </w:r>
          </w:p>
        </w:tc>
        <w:tc>
          <w:tcPr>
            <w:tcW w:w="435" w:type="dxa"/>
            <w:vAlign w:val="center"/>
          </w:tcPr>
          <w:p w14:paraId="4F3B897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A159351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6860FE69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5B7E7569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iC06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1D6B3482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7B7FB8">
              <w:rPr>
                <w:rFonts w:ascii="Segoe UI" w:hAnsi="Segoe UI" w:cs="Segoe UI"/>
                <w:sz w:val="16"/>
              </w:rPr>
              <w:t>Percentuale di Laureati occupati a un anno dal Titolo (L) - Laureati che dichiarano di svolgere un’attività lavorativa o di formazione retribuita (es. dottorato con borsa, specializzazione in medicina, ecc.)</w:t>
            </w:r>
          </w:p>
        </w:tc>
        <w:tc>
          <w:tcPr>
            <w:tcW w:w="435" w:type="dxa"/>
            <w:vAlign w:val="center"/>
          </w:tcPr>
          <w:p w14:paraId="34CA2044" w14:textId="253BF611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  <w:tc>
          <w:tcPr>
            <w:tcW w:w="435" w:type="dxa"/>
            <w:vAlign w:val="center"/>
          </w:tcPr>
          <w:p w14:paraId="49449DA7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4A5E8541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6C0CEDD0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iC06</w:t>
            </w:r>
            <w:r>
              <w:rPr>
                <w:rFonts w:ascii="Segoe UI" w:hAnsi="Segoe UI" w:cs="Segoe UI"/>
                <w:sz w:val="16"/>
              </w:rPr>
              <w:t>BIS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70C4570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7B7FB8">
              <w:rPr>
                <w:rFonts w:ascii="Segoe UI" w:hAnsi="Segoe UI" w:cs="Segoe UI"/>
                <w:sz w:val="16"/>
              </w:rPr>
              <w:t>Percentuale di Laureati occupati a un anno dal Titolo (L) - laureati che dichiarano di svolgere un’attività lavorativa e regolamentata da un contratto, o di svolgere attività di formazione retribuita (es. dottorato con borsa, specializzazione in medicina, ecc.)</w:t>
            </w:r>
          </w:p>
        </w:tc>
        <w:tc>
          <w:tcPr>
            <w:tcW w:w="435" w:type="dxa"/>
            <w:vAlign w:val="center"/>
          </w:tcPr>
          <w:p w14:paraId="3CD0C3B6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2FF0F7C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62F77DE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272AE109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iC06</w:t>
            </w:r>
            <w:r>
              <w:rPr>
                <w:rFonts w:ascii="Segoe UI" w:hAnsi="Segoe UI" w:cs="Segoe UI"/>
                <w:sz w:val="16"/>
              </w:rPr>
              <w:t>TER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307E89E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7B7FB8">
              <w:rPr>
                <w:rFonts w:ascii="Segoe UI" w:hAnsi="Segoe UI" w:cs="Segoe UI"/>
                <w:sz w:val="16"/>
              </w:rPr>
              <w:t>Percentuale di Laureati occupati a un anno dal Titolo (L) – Laureati non impegnati in formazione non retribuita che dichiarano di svolgere un’attività lavorativa e regolamentata da un contratto</w:t>
            </w:r>
          </w:p>
        </w:tc>
        <w:tc>
          <w:tcPr>
            <w:tcW w:w="435" w:type="dxa"/>
            <w:vAlign w:val="center"/>
          </w:tcPr>
          <w:p w14:paraId="5173C0C7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0B761CA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1564B233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61678A9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iC07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771FAC5B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A4F85">
              <w:rPr>
                <w:rFonts w:ascii="Segoe UI" w:hAnsi="Segoe UI" w:cs="Segoe UI"/>
                <w:sz w:val="16"/>
              </w:rPr>
              <w:t>Percentuale di Laureati occupati a tre anni dal Titolo (LM; LMCU) - Laureati che dichiarano di svolgere un’attività lavorativa o di formazione retribuita (es. dottorato con borsa, specializzazione in medicina, ecc.)</w:t>
            </w:r>
          </w:p>
        </w:tc>
        <w:tc>
          <w:tcPr>
            <w:tcW w:w="435" w:type="dxa"/>
            <w:vAlign w:val="center"/>
          </w:tcPr>
          <w:p w14:paraId="15240B6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22D6616F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5AFBEA96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5314FDF5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7BIS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75F7904" w14:textId="77777777" w:rsidR="009A5FDD" w:rsidRPr="001D6EF2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A4F85">
              <w:rPr>
                <w:rFonts w:ascii="Segoe UI" w:hAnsi="Segoe UI" w:cs="Segoe UI"/>
                <w:sz w:val="16"/>
              </w:rPr>
              <w:t>Percentuale di Laureati occupati a tre anni dal Titolo (LM; LMCU) - laureati che dichiarano di svolgere un’attività lavorativa e regolamentata da un contratto, o di svolgere attività di formazione retribuita (es. dottorato con borsa, specializzazione in medicina, ecc.)</w:t>
            </w:r>
          </w:p>
        </w:tc>
        <w:tc>
          <w:tcPr>
            <w:tcW w:w="435" w:type="dxa"/>
            <w:vAlign w:val="center"/>
          </w:tcPr>
          <w:p w14:paraId="54B28690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5FE122AB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7FEC590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0D636EFC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</w:t>
            </w:r>
            <w:r>
              <w:rPr>
                <w:rFonts w:ascii="Segoe UI" w:hAnsi="Segoe UI" w:cs="Segoe UI"/>
                <w:sz w:val="16"/>
              </w:rPr>
              <w:t>7TER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AA58201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A4F85">
              <w:rPr>
                <w:rFonts w:ascii="Segoe UI" w:hAnsi="Segoe UI" w:cs="Segoe UI"/>
                <w:sz w:val="16"/>
              </w:rPr>
              <w:t>Percentuale di Laureati occupati a tre anni dal Titolo (LM; LMCU) - Laureati non impegnati in formazione non retribuita che dichiarano di svolgere un’attività lavorativa e regolamentata da un contratto</w:t>
            </w:r>
          </w:p>
        </w:tc>
        <w:tc>
          <w:tcPr>
            <w:tcW w:w="435" w:type="dxa"/>
            <w:vAlign w:val="center"/>
          </w:tcPr>
          <w:p w14:paraId="7A792CA3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5B265F9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328FF7E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03EE29CA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iC08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2C5E340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A4F85">
              <w:rPr>
                <w:rFonts w:ascii="Segoe UI" w:hAnsi="Segoe UI" w:cs="Segoe UI"/>
                <w:sz w:val="16"/>
              </w:rPr>
              <w:t xml:space="preserve">Percentuale dei docenti di ruolo che appartengono a settori scientifico-disciplinari (SSD) di base e caratterizzanti per corso di </w:t>
            </w:r>
            <w:r w:rsidRPr="00FA4F85">
              <w:rPr>
                <w:rFonts w:ascii="Segoe UI" w:hAnsi="Segoe UI" w:cs="Segoe UI"/>
                <w:sz w:val="16"/>
              </w:rPr>
              <w:lastRenderedPageBreak/>
              <w:t>studio (L; LMCU; LM), di cui sono docenti di riferimento</w:t>
            </w:r>
          </w:p>
        </w:tc>
        <w:tc>
          <w:tcPr>
            <w:tcW w:w="435" w:type="dxa"/>
            <w:vAlign w:val="center"/>
          </w:tcPr>
          <w:p w14:paraId="5CAC0948" w14:textId="41BE132C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lastRenderedPageBreak/>
              <w:t>x</w:t>
            </w:r>
          </w:p>
        </w:tc>
        <w:tc>
          <w:tcPr>
            <w:tcW w:w="435" w:type="dxa"/>
            <w:vAlign w:val="center"/>
          </w:tcPr>
          <w:p w14:paraId="4EECF2B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2295DD6F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06DE85E1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iC09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21C2BB04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Valori dell'indicatore di Qualità della ricerca dei docenti per le lauree magistrali (QRDLM) (valore di riferimento: 0,8)</w:t>
            </w:r>
          </w:p>
        </w:tc>
        <w:tc>
          <w:tcPr>
            <w:tcW w:w="435" w:type="dxa"/>
            <w:vAlign w:val="center"/>
          </w:tcPr>
          <w:p w14:paraId="468D5DB9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385150CF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EDA696B" w14:textId="77777777" w:rsidTr="00B27CA2">
        <w:trPr>
          <w:trHeight w:val="425"/>
          <w:jc w:val="center"/>
        </w:trPr>
        <w:tc>
          <w:tcPr>
            <w:tcW w:w="5148" w:type="dxa"/>
            <w:gridSpan w:val="4"/>
            <w:shd w:val="clear" w:color="auto" w:fill="3366FF"/>
            <w:vAlign w:val="center"/>
          </w:tcPr>
          <w:p w14:paraId="6A5CA2B2" w14:textId="77777777" w:rsidR="009A5FDD" w:rsidRPr="00CA16B9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</w:rPr>
            </w:pPr>
            <w:r w:rsidRPr="00CA16B9">
              <w:rPr>
                <w:rFonts w:ascii="Segoe UI" w:hAnsi="Segoe UI" w:cs="Segoe UI"/>
                <w:b/>
                <w:color w:val="FFFFFF" w:themeColor="background1"/>
                <w:sz w:val="16"/>
              </w:rPr>
              <w:t>GRUPPO B – INDICATORI DI INTERNAZIONALIZZAZIONE</w:t>
            </w:r>
          </w:p>
        </w:tc>
      </w:tr>
      <w:tr w:rsidR="009A5FDD" w14:paraId="2FE97280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C0B1726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94E65">
              <w:rPr>
                <w:rFonts w:ascii="Segoe UI" w:hAnsi="Segoe UI" w:cs="Segoe UI"/>
                <w:sz w:val="16"/>
              </w:rPr>
              <w:t>iC10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7083C838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CFU conseguiti all'estero dagli studenti regolari sul totale dei CFU conseguiti dagli studenti entro la durata normale del corso</w:t>
            </w:r>
          </w:p>
        </w:tc>
        <w:tc>
          <w:tcPr>
            <w:tcW w:w="435" w:type="dxa"/>
            <w:vAlign w:val="center"/>
          </w:tcPr>
          <w:p w14:paraId="0AA50E20" w14:textId="35E4CA91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  <w:tc>
          <w:tcPr>
            <w:tcW w:w="435" w:type="dxa"/>
            <w:vAlign w:val="center"/>
          </w:tcPr>
          <w:p w14:paraId="791B85D0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0FE44704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29DA6EBF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iC11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BD74B7C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laureati (L; LM; LMCU) entro la durata normale del corso che hanno acquisito almeno 12 CFU all’estero</w:t>
            </w:r>
          </w:p>
        </w:tc>
        <w:tc>
          <w:tcPr>
            <w:tcW w:w="435" w:type="dxa"/>
            <w:vAlign w:val="center"/>
          </w:tcPr>
          <w:p w14:paraId="4D77B36E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42B659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22727A57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4385280A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iC12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65DDB53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iscritti al primo anno del corso di laurea (L) e laurea magistrale (LM; LMCU) che hanno conseguito il precedente titolo di studio all’estero</w:t>
            </w:r>
          </w:p>
        </w:tc>
        <w:tc>
          <w:tcPr>
            <w:tcW w:w="435" w:type="dxa"/>
            <w:vAlign w:val="center"/>
          </w:tcPr>
          <w:p w14:paraId="39B3FB3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8B9FED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5C571FB2" w14:textId="77777777" w:rsidTr="00B27CA2">
        <w:trPr>
          <w:trHeight w:val="425"/>
          <w:jc w:val="center"/>
        </w:trPr>
        <w:tc>
          <w:tcPr>
            <w:tcW w:w="5148" w:type="dxa"/>
            <w:gridSpan w:val="4"/>
            <w:shd w:val="clear" w:color="auto" w:fill="3366FF"/>
            <w:vAlign w:val="center"/>
          </w:tcPr>
          <w:p w14:paraId="1CCC153A" w14:textId="77777777" w:rsidR="009A5FDD" w:rsidRPr="00CA16B9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A16B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GRUPPO E – ULTERIORI INDICATORI PER LA VALUTAZIONE DELLA DIDATTICA</w:t>
            </w:r>
          </w:p>
        </w:tc>
      </w:tr>
      <w:tr w:rsidR="009A5FDD" w14:paraId="46901DF6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567D066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iC13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AB29FA3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CFU conseguiti al I anno su CFU da conseguire</w:t>
            </w:r>
          </w:p>
        </w:tc>
        <w:tc>
          <w:tcPr>
            <w:tcW w:w="435" w:type="dxa"/>
            <w:vAlign w:val="center"/>
          </w:tcPr>
          <w:p w14:paraId="41A30E1A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2760C5C7" w14:textId="55141D04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26B8CC67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21DA48D3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iC14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E28940D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che proseguono nel II anno nello stesso corso di studio</w:t>
            </w:r>
          </w:p>
        </w:tc>
        <w:tc>
          <w:tcPr>
            <w:tcW w:w="435" w:type="dxa"/>
            <w:vAlign w:val="center"/>
          </w:tcPr>
          <w:p w14:paraId="05C4A8EB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90EBF4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1E93013B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A866050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iC15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029AF2F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che proseguono al II anno nello stesso corso di studio avendo acquisito almeno 20 CFU al I anno</w:t>
            </w:r>
          </w:p>
        </w:tc>
        <w:tc>
          <w:tcPr>
            <w:tcW w:w="435" w:type="dxa"/>
            <w:vAlign w:val="center"/>
          </w:tcPr>
          <w:p w14:paraId="4A327AE9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DA21883" w14:textId="16427644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2C8DFE45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08A2EB49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iC15BIS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D29017F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che proseguono al II anno nello stesso corso di studio avendo acquisito almeno 1/3 dei CFU previsti al I anno</w:t>
            </w:r>
          </w:p>
        </w:tc>
        <w:tc>
          <w:tcPr>
            <w:tcW w:w="435" w:type="dxa"/>
            <w:vAlign w:val="center"/>
          </w:tcPr>
          <w:p w14:paraId="592B44E5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BFEE46C" w14:textId="77A329C8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372D09E3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5E605A6E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iC16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17A2519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che proseguono al II anno nello stesso corso di studio avendo acquisito almeno 40 CFU al I anno</w:t>
            </w:r>
          </w:p>
        </w:tc>
        <w:tc>
          <w:tcPr>
            <w:tcW w:w="435" w:type="dxa"/>
            <w:vAlign w:val="center"/>
          </w:tcPr>
          <w:p w14:paraId="35EE0294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6E5C115" w14:textId="4986D7DD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41869F4D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55E11956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iC16BIS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795EA35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che proseguono al II anno nello stesso corso di studio avendo acquisito almeno 2/3 dei CFU previsti al I anno</w:t>
            </w:r>
          </w:p>
        </w:tc>
        <w:tc>
          <w:tcPr>
            <w:tcW w:w="435" w:type="dxa"/>
            <w:vAlign w:val="center"/>
          </w:tcPr>
          <w:p w14:paraId="0D46D7A9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1CC3127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12ED5546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649A29CF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iC17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0942C611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immatricolati (L; LM; LMCU) che si laureano entro un anno oltre la durata normale del corso nello stesso corso di studio</w:t>
            </w:r>
          </w:p>
        </w:tc>
        <w:tc>
          <w:tcPr>
            <w:tcW w:w="435" w:type="dxa"/>
            <w:vAlign w:val="center"/>
          </w:tcPr>
          <w:p w14:paraId="61B521D0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CDF05C5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0C5792A1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35ED17E7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iC18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3BAB89B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laureati che si iscriverebbero di nuovo allo stesso corso di studio</w:t>
            </w:r>
          </w:p>
        </w:tc>
        <w:tc>
          <w:tcPr>
            <w:tcW w:w="435" w:type="dxa"/>
            <w:vAlign w:val="center"/>
          </w:tcPr>
          <w:p w14:paraId="0D48FB49" w14:textId="085BB868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  <w:tc>
          <w:tcPr>
            <w:tcW w:w="435" w:type="dxa"/>
            <w:vAlign w:val="center"/>
          </w:tcPr>
          <w:p w14:paraId="43DCE55A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5529B910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6A0D14E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iC19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328A5442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ore di docenza erogata da docenti assunti a tempo indeterminato sul totale delle ore di docenza erogata</w:t>
            </w:r>
          </w:p>
        </w:tc>
        <w:tc>
          <w:tcPr>
            <w:tcW w:w="435" w:type="dxa"/>
            <w:vAlign w:val="center"/>
          </w:tcPr>
          <w:p w14:paraId="7FCF474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DEE972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5C9EA4D8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3CAD8B5B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iC20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68C7F527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tutor/studenti iscritti (per i corsi di studio prevalentemente o integralmente a distanza)</w:t>
            </w:r>
          </w:p>
        </w:tc>
        <w:tc>
          <w:tcPr>
            <w:tcW w:w="435" w:type="dxa"/>
            <w:vAlign w:val="center"/>
          </w:tcPr>
          <w:p w14:paraId="5A14C3DD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9AAE84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63DD8B5A" w14:textId="77777777" w:rsidTr="00B27CA2">
        <w:trPr>
          <w:trHeight w:val="425"/>
          <w:jc w:val="center"/>
        </w:trPr>
        <w:tc>
          <w:tcPr>
            <w:tcW w:w="5148" w:type="dxa"/>
            <w:gridSpan w:val="4"/>
            <w:shd w:val="clear" w:color="auto" w:fill="3366FF"/>
            <w:vAlign w:val="center"/>
          </w:tcPr>
          <w:p w14:paraId="4D26C843" w14:textId="77777777" w:rsidR="009A5FDD" w:rsidRPr="00CA16B9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A16B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INDICATORI DI APPROFONDIMENTO PER LA SPERIMENTAZIONE – PERCORSO DI STUDIO E REGOLARITÀ DELLE CARRIERE</w:t>
            </w:r>
          </w:p>
        </w:tc>
      </w:tr>
      <w:tr w:rsidR="009A5FDD" w14:paraId="5D47A39E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4537F3CE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iC21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0E910632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>Percentuale di studenti che proseguono la carriera nel sistema universitario al II anno</w:t>
            </w:r>
          </w:p>
        </w:tc>
        <w:tc>
          <w:tcPr>
            <w:tcW w:w="435" w:type="dxa"/>
            <w:vAlign w:val="center"/>
          </w:tcPr>
          <w:p w14:paraId="6CA77644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F710131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134D7802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205CD71E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iC22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24B550E6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 xml:space="preserve">Percentuale di immatricolati (L; LM; LMCU) che si laureano, nel </w:t>
            </w:r>
            <w:proofErr w:type="spellStart"/>
            <w:r w:rsidRPr="00FD3612">
              <w:rPr>
                <w:rFonts w:ascii="Segoe UI" w:hAnsi="Segoe UI" w:cs="Segoe UI"/>
                <w:sz w:val="16"/>
              </w:rPr>
              <w:t>CdS</w:t>
            </w:r>
            <w:proofErr w:type="spellEnd"/>
            <w:r w:rsidRPr="00FD3612">
              <w:rPr>
                <w:rFonts w:ascii="Segoe UI" w:hAnsi="Segoe UI" w:cs="Segoe UI"/>
                <w:sz w:val="16"/>
              </w:rPr>
              <w:t>, entro la durata normale del corso</w:t>
            </w:r>
          </w:p>
        </w:tc>
        <w:tc>
          <w:tcPr>
            <w:tcW w:w="435" w:type="dxa"/>
            <w:vAlign w:val="center"/>
          </w:tcPr>
          <w:p w14:paraId="5AED4778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5BDB9E1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CC79E4B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E01A46B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lastRenderedPageBreak/>
              <w:t>iC23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00D5F7C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 xml:space="preserve">Percentuale di immatricolati (L; LM; LMCU) che proseguono la carriera al secondo anno in un differente </w:t>
            </w:r>
            <w:proofErr w:type="spellStart"/>
            <w:r w:rsidRPr="00FD3612">
              <w:rPr>
                <w:rFonts w:ascii="Segoe UI" w:hAnsi="Segoe UI" w:cs="Segoe UI"/>
                <w:sz w:val="16"/>
              </w:rPr>
              <w:t>CdS</w:t>
            </w:r>
            <w:proofErr w:type="spellEnd"/>
            <w:r w:rsidRPr="00FD3612">
              <w:rPr>
                <w:rFonts w:ascii="Segoe UI" w:hAnsi="Segoe UI" w:cs="Segoe UI"/>
                <w:sz w:val="16"/>
              </w:rPr>
              <w:t xml:space="preserve"> dell'Ateneo</w:t>
            </w:r>
          </w:p>
        </w:tc>
        <w:tc>
          <w:tcPr>
            <w:tcW w:w="435" w:type="dxa"/>
            <w:vAlign w:val="center"/>
          </w:tcPr>
          <w:p w14:paraId="5C14DDE1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2790E5AB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64C007C2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110A6E6" w14:textId="77777777" w:rsidR="009A5FDD" w:rsidRPr="00922F7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 w:rsidRPr="00922F7D">
              <w:rPr>
                <w:rFonts w:ascii="Segoe UI" w:hAnsi="Segoe UI" w:cs="Segoe UI"/>
                <w:sz w:val="16"/>
              </w:rPr>
              <w:t>iC2</w:t>
            </w:r>
            <w:r>
              <w:rPr>
                <w:rFonts w:ascii="Segoe UI" w:hAnsi="Segoe UI" w:cs="Segoe UI"/>
                <w:sz w:val="16"/>
              </w:rPr>
              <w:t>4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6DF7E93" w14:textId="77777777" w:rsidR="009A5FDD" w:rsidRPr="00922F7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 xml:space="preserve">Percentuale di abbandoni del </w:t>
            </w:r>
            <w:proofErr w:type="spellStart"/>
            <w:r w:rsidRPr="00FD3612">
              <w:rPr>
                <w:rFonts w:ascii="Segoe UI" w:hAnsi="Segoe UI" w:cs="Segoe UI"/>
                <w:sz w:val="16"/>
              </w:rPr>
              <w:t>CdS</w:t>
            </w:r>
            <w:proofErr w:type="spellEnd"/>
            <w:r w:rsidRPr="00FD3612">
              <w:rPr>
                <w:rFonts w:ascii="Segoe UI" w:hAnsi="Segoe UI" w:cs="Segoe UI"/>
                <w:sz w:val="16"/>
              </w:rPr>
              <w:t xml:space="preserve"> dopo N+1 anni</w:t>
            </w:r>
          </w:p>
        </w:tc>
        <w:tc>
          <w:tcPr>
            <w:tcW w:w="435" w:type="dxa"/>
            <w:vAlign w:val="center"/>
          </w:tcPr>
          <w:p w14:paraId="0707B003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CF81810" w14:textId="61A72919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5020387D" w14:textId="77777777" w:rsidTr="00B27CA2">
        <w:trPr>
          <w:trHeight w:val="425"/>
          <w:jc w:val="center"/>
        </w:trPr>
        <w:tc>
          <w:tcPr>
            <w:tcW w:w="5148" w:type="dxa"/>
            <w:gridSpan w:val="4"/>
            <w:shd w:val="clear" w:color="auto" w:fill="3366FF"/>
            <w:vAlign w:val="center"/>
          </w:tcPr>
          <w:p w14:paraId="35F69789" w14:textId="77777777" w:rsidR="009A5FDD" w:rsidRPr="00CA16B9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CA16B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INDICATORI DI APPROFONDIMENTO PER LA SPERIMENTAZIONE – SODDISFAZIONE E OCCUPABILITÀ</w:t>
            </w:r>
          </w:p>
        </w:tc>
      </w:tr>
      <w:tr w:rsidR="009A5FDD" w14:paraId="5453155A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7F23E574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iC25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1F268F60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FD3612">
              <w:rPr>
                <w:rFonts w:ascii="Segoe UI" w:hAnsi="Segoe UI" w:cs="Segoe UI"/>
                <w:sz w:val="16"/>
              </w:rPr>
              <w:t xml:space="preserve">Percentuale di laureandi complessivamente soddisfatti del </w:t>
            </w:r>
            <w:proofErr w:type="spellStart"/>
            <w:r w:rsidRPr="00FD3612">
              <w:rPr>
                <w:rFonts w:ascii="Segoe UI" w:hAnsi="Segoe UI" w:cs="Segoe UI"/>
                <w:sz w:val="16"/>
              </w:rPr>
              <w:t>CdS</w:t>
            </w:r>
            <w:proofErr w:type="spellEnd"/>
          </w:p>
        </w:tc>
        <w:tc>
          <w:tcPr>
            <w:tcW w:w="435" w:type="dxa"/>
            <w:vAlign w:val="center"/>
          </w:tcPr>
          <w:p w14:paraId="25570FA6" w14:textId="65938BA1" w:rsidR="009A5FDD" w:rsidRPr="009C32A8" w:rsidRDefault="00BE2143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  <w:tc>
          <w:tcPr>
            <w:tcW w:w="435" w:type="dxa"/>
            <w:vAlign w:val="center"/>
          </w:tcPr>
          <w:p w14:paraId="1800088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E1B7553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12670B65" w14:textId="77777777" w:rsidR="009A5FD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iC26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162CD22C" w14:textId="77777777" w:rsidR="009A5FD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>Percentuale di Laureati occupati a un anno dal Titolo (LM; LMCU) - Laureati che dichiarano di svolgere un’attività lavorativa o di formazione retribuita (es. dottorato con borsa, specializzazione in medicina, ecc.)</w:t>
            </w:r>
          </w:p>
        </w:tc>
        <w:tc>
          <w:tcPr>
            <w:tcW w:w="435" w:type="dxa"/>
            <w:vAlign w:val="center"/>
          </w:tcPr>
          <w:p w14:paraId="5087A977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F7D1F01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281AEEA6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7E70FD0A" w14:textId="77777777" w:rsidR="009A5FDD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iC26BIS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4FA86DA1" w14:textId="77777777" w:rsidR="009A5FD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>Percentuale di Laureati occupati a un anno dal Titolo (LM; LMCU) - laureati che dichiarano di svolgere un’attività lavorativa e regolamentata da un contratto, o di svolgere attività di formazione retribuita (es. dottorato con borsa, specializzazione in medicina, ecc.)</w:t>
            </w:r>
          </w:p>
        </w:tc>
        <w:tc>
          <w:tcPr>
            <w:tcW w:w="435" w:type="dxa"/>
            <w:vAlign w:val="center"/>
          </w:tcPr>
          <w:p w14:paraId="0B82A337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2DBC33C6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5E186E75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2C42273B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iC26TER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00E7BC82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>Percentuale di Laureati occupati a un anno dal Titolo (LM; LMCU) - Laureati non impegnati in formazione non retribuita che dichiarano di svolgere un’attività lavorativa e regolamentata da un contratto</w:t>
            </w:r>
          </w:p>
        </w:tc>
        <w:tc>
          <w:tcPr>
            <w:tcW w:w="435" w:type="dxa"/>
            <w:vAlign w:val="center"/>
          </w:tcPr>
          <w:p w14:paraId="553771EF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B1ACC32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7610C2BF" w14:textId="77777777" w:rsidTr="00B27CA2">
        <w:trPr>
          <w:trHeight w:val="425"/>
          <w:jc w:val="center"/>
        </w:trPr>
        <w:tc>
          <w:tcPr>
            <w:tcW w:w="5148" w:type="dxa"/>
            <w:gridSpan w:val="4"/>
            <w:shd w:val="clear" w:color="auto" w:fill="3366FF"/>
            <w:vAlign w:val="center"/>
          </w:tcPr>
          <w:p w14:paraId="6A52659A" w14:textId="77777777" w:rsidR="009A5FDD" w:rsidRPr="003258D6" w:rsidRDefault="009A5FDD" w:rsidP="00B27CA2">
            <w:pPr>
              <w:mirrorIndents/>
              <w:jc w:val="center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</w:pPr>
            <w:r w:rsidRPr="003258D6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</w:rPr>
              <w:t>INDICATORI DI APPROFONDIMENTO PER LA SPERIMENTAZIONE – CONSISTENZA E QUALIFICAZIONE DEL CORPO DOCENTE</w:t>
            </w:r>
          </w:p>
        </w:tc>
      </w:tr>
      <w:tr w:rsidR="009A5FDD" w14:paraId="0997EE59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7C0C189D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iC27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7719295B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>Rapporto studenti iscritti/docenti complessivo (pesato per le ore di docenza)</w:t>
            </w:r>
          </w:p>
        </w:tc>
        <w:tc>
          <w:tcPr>
            <w:tcW w:w="435" w:type="dxa"/>
            <w:vAlign w:val="center"/>
          </w:tcPr>
          <w:p w14:paraId="1B547EA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38C54A5" w14:textId="33F24AF6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x</w:t>
            </w:r>
          </w:p>
        </w:tc>
      </w:tr>
      <w:tr w:rsidR="009A5FDD" w14:paraId="7DAA51E5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249F8CD9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iC28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17EB235F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>Rapporto studenti iscritti al primo anno/docenti degli insegnamenti del primo anno (pesato per le ore di docenza)</w:t>
            </w:r>
          </w:p>
        </w:tc>
        <w:tc>
          <w:tcPr>
            <w:tcW w:w="435" w:type="dxa"/>
            <w:vAlign w:val="center"/>
          </w:tcPr>
          <w:p w14:paraId="32B8B261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29FF5E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 w:rsidR="009A5FDD" w14:paraId="1835CD16" w14:textId="77777777" w:rsidTr="00B27CA2">
        <w:trPr>
          <w:trHeight w:val="425"/>
          <w:jc w:val="center"/>
        </w:trPr>
        <w:tc>
          <w:tcPr>
            <w:tcW w:w="856" w:type="dxa"/>
            <w:tcBorders>
              <w:right w:val="nil"/>
            </w:tcBorders>
            <w:vAlign w:val="center"/>
          </w:tcPr>
          <w:p w14:paraId="0A14C571" w14:textId="77777777" w:rsidR="009A5FDD" w:rsidRPr="00994E65" w:rsidRDefault="009A5FDD" w:rsidP="00B27CA2">
            <w:pPr>
              <w:mirrorIndents/>
              <w:jc w:val="center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iC29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14:paraId="59E72E48" w14:textId="77777777" w:rsidR="009A5FDD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 xml:space="preserve">Rapporto tutor in possesso di </w:t>
            </w:r>
            <w:r>
              <w:rPr>
                <w:rFonts w:ascii="Segoe UI" w:hAnsi="Segoe UI" w:cs="Segoe UI"/>
                <w:sz w:val="16"/>
              </w:rPr>
              <w:t>Dottorato di Ricerca / Iscritti</w:t>
            </w:r>
          </w:p>
          <w:p w14:paraId="14E75CC5" w14:textId="77777777" w:rsidR="009A5FDD" w:rsidRPr="00994E65" w:rsidRDefault="009A5FDD" w:rsidP="00B27CA2">
            <w:pPr>
              <w:mirrorIndents/>
              <w:rPr>
                <w:rFonts w:ascii="Segoe UI" w:hAnsi="Segoe UI" w:cs="Segoe UI"/>
                <w:sz w:val="16"/>
              </w:rPr>
            </w:pPr>
            <w:r w:rsidRPr="00E90194">
              <w:rPr>
                <w:rFonts w:ascii="Segoe UI" w:hAnsi="Segoe UI" w:cs="Segoe UI"/>
                <w:sz w:val="16"/>
              </w:rPr>
              <w:t>(per i corsi di studio prevalentemente o integralmente a distanza)</w:t>
            </w:r>
          </w:p>
        </w:tc>
        <w:tc>
          <w:tcPr>
            <w:tcW w:w="435" w:type="dxa"/>
            <w:vAlign w:val="center"/>
          </w:tcPr>
          <w:p w14:paraId="0ADEB887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D59C70C" w14:textId="77777777" w:rsidR="009A5FDD" w:rsidRPr="009C32A8" w:rsidRDefault="009A5FDD" w:rsidP="00B27CA2">
            <w:pPr>
              <w:mirrorIndents/>
              <w:jc w:val="center"/>
              <w:rPr>
                <w:rFonts w:ascii="Segoe UI" w:hAnsi="Segoe UI" w:cs="Segoe UI"/>
                <w:sz w:val="24"/>
              </w:rPr>
            </w:pPr>
          </w:p>
        </w:tc>
      </w:tr>
    </w:tbl>
    <w:p w14:paraId="63098188" w14:textId="77777777" w:rsidR="009A5FDD" w:rsidRDefault="009A5FDD" w:rsidP="009A5FDD">
      <w:pPr>
        <w:mirrorIndents/>
      </w:pPr>
    </w:p>
    <w:p w14:paraId="44A69081" w14:textId="77777777" w:rsidR="009A5FDD" w:rsidRDefault="009A5FDD" w:rsidP="001C5ED9">
      <w:pPr>
        <w:spacing w:after="0"/>
        <w:mirrorIndents/>
        <w:rPr>
          <w:rFonts w:ascii="Segoe UI" w:hAnsi="Segoe UI" w:cs="Segoe UI"/>
          <w:sz w:val="20"/>
          <w:szCs w:val="20"/>
          <w:u w:val="single"/>
        </w:rPr>
      </w:pPr>
    </w:p>
    <w:p w14:paraId="51D09066" w14:textId="47272AED" w:rsidR="001C5ED9" w:rsidRPr="001C5ED9" w:rsidRDefault="001C5ED9" w:rsidP="001C5ED9">
      <w:pPr>
        <w:spacing w:after="0"/>
        <w:mirrorIndents/>
        <w:rPr>
          <w:rFonts w:ascii="Segoe UI" w:hAnsi="Segoe UI" w:cs="Segoe UI"/>
          <w:sz w:val="20"/>
          <w:szCs w:val="20"/>
          <w:u w:val="single"/>
        </w:rPr>
      </w:pPr>
      <w:r w:rsidRPr="001C5ED9">
        <w:rPr>
          <w:rFonts w:ascii="Segoe UI" w:hAnsi="Segoe UI" w:cs="Segoe UI"/>
          <w:sz w:val="20"/>
          <w:szCs w:val="20"/>
          <w:u w:val="single"/>
        </w:rPr>
        <w:t>Criticità</w:t>
      </w:r>
    </w:p>
    <w:p w14:paraId="4940791D" w14:textId="77777777" w:rsidR="001C5ED9" w:rsidRPr="001C5ED9" w:rsidRDefault="001C5ED9" w:rsidP="001C5ED9">
      <w:pPr>
        <w:numPr>
          <w:ilvl w:val="0"/>
          <w:numId w:val="2"/>
        </w:num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 xml:space="preserve">L’indicatore iC01 (percentuale di studenti iscritti entro la durata normale del </w:t>
      </w:r>
      <w:proofErr w:type="spellStart"/>
      <w:r w:rsidRPr="001C5ED9">
        <w:rPr>
          <w:rFonts w:ascii="Segoe UI" w:hAnsi="Segoe UI" w:cs="Segoe UI"/>
          <w:sz w:val="20"/>
          <w:szCs w:val="20"/>
        </w:rPr>
        <w:t>CdS</w:t>
      </w:r>
      <w:proofErr w:type="spellEnd"/>
      <w:r w:rsidRPr="001C5ED9">
        <w:rPr>
          <w:rFonts w:ascii="Segoe UI" w:hAnsi="Segoe UI" w:cs="Segoe UI"/>
          <w:sz w:val="20"/>
          <w:szCs w:val="20"/>
        </w:rPr>
        <w:t xml:space="preserve"> che abbiano acquisito almeno 40 CFU </w:t>
      </w:r>
      <w:proofErr w:type="spellStart"/>
      <w:r w:rsidRPr="001C5ED9">
        <w:rPr>
          <w:rFonts w:ascii="Segoe UI" w:hAnsi="Segoe UI" w:cs="Segoe UI"/>
          <w:sz w:val="20"/>
          <w:szCs w:val="20"/>
        </w:rPr>
        <w:t>nell'a.s.</w:t>
      </w:r>
      <w:proofErr w:type="spellEnd"/>
      <w:r w:rsidRPr="001C5ED9">
        <w:rPr>
          <w:rFonts w:ascii="Segoe UI" w:hAnsi="Segoe UI" w:cs="Segoe UI"/>
          <w:sz w:val="20"/>
          <w:szCs w:val="20"/>
        </w:rPr>
        <w:t>) presenta ancora un’</w:t>
      </w:r>
      <w:r w:rsidRPr="001C5ED9">
        <w:rPr>
          <w:rFonts w:ascii="Segoe UI" w:hAnsi="Segoe UI" w:cs="Segoe UI"/>
          <w:b/>
          <w:sz w:val="20"/>
          <w:szCs w:val="20"/>
          <w:u w:val="single"/>
        </w:rPr>
        <w:t>alta</w:t>
      </w:r>
      <w:r w:rsidRPr="001C5ED9">
        <w:rPr>
          <w:rFonts w:ascii="Segoe UI" w:hAnsi="Segoe UI" w:cs="Segoe UI"/>
          <w:sz w:val="20"/>
          <w:szCs w:val="20"/>
        </w:rPr>
        <w:t xml:space="preserve"> criticità. Nel 2018 c’è stata una lieve ripresa rispetto all’anno precedente (dal 16,6 al 19,5%);</w:t>
      </w:r>
    </w:p>
    <w:p w14:paraId="49732221" w14:textId="77777777" w:rsidR="001C5ED9" w:rsidRPr="001C5ED9" w:rsidRDefault="001C5ED9" w:rsidP="001C5ED9">
      <w:pPr>
        <w:numPr>
          <w:ilvl w:val="0"/>
          <w:numId w:val="2"/>
        </w:num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>L’indicatore iC02 (percentuale di laureati entro la durata normale del corso) presenta ancora un’</w:t>
      </w:r>
      <w:r w:rsidRPr="001C5ED9">
        <w:rPr>
          <w:rFonts w:ascii="Segoe UI" w:hAnsi="Segoe UI" w:cs="Segoe UI"/>
          <w:b/>
          <w:sz w:val="20"/>
          <w:szCs w:val="20"/>
          <w:u w:val="single"/>
        </w:rPr>
        <w:t>alta</w:t>
      </w:r>
      <w:r w:rsidRPr="001C5ED9">
        <w:rPr>
          <w:rFonts w:ascii="Segoe UI" w:hAnsi="Segoe UI" w:cs="Segoe UI"/>
          <w:sz w:val="20"/>
          <w:szCs w:val="20"/>
        </w:rPr>
        <w:t xml:space="preserve"> criticità. Il valore del 2019 (22,4%) è in diminuzione rispetto agli anni precedenti, in particolare rispetto al 2018;</w:t>
      </w:r>
    </w:p>
    <w:p w14:paraId="60F12899" w14:textId="77777777" w:rsidR="001C5ED9" w:rsidRPr="001C5ED9" w:rsidRDefault="001C5ED9" w:rsidP="001C5ED9">
      <w:pPr>
        <w:numPr>
          <w:ilvl w:val="0"/>
          <w:numId w:val="2"/>
        </w:num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>L’indicatore iC13 (percentuale di CFU conseguiti al I anno su CFU da conseguire) segnala che la criticità, che sembrava risolta nel 2016, si è ripresentata a causa della diminuzione nel 2017 e 2018 a paragone comunque del solo dato nazionale;</w:t>
      </w:r>
    </w:p>
    <w:p w14:paraId="1EAF62E8" w14:textId="77777777" w:rsidR="001C5ED9" w:rsidRPr="001C5ED9" w:rsidRDefault="001C5ED9" w:rsidP="001C5ED9">
      <w:pPr>
        <w:numPr>
          <w:ilvl w:val="0"/>
          <w:numId w:val="2"/>
        </w:num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 xml:space="preserve">Gli indicatori iC15 (percentuale di studenti che proseguono al II anno nello stesso </w:t>
      </w:r>
      <w:proofErr w:type="spellStart"/>
      <w:r w:rsidRPr="001C5ED9">
        <w:rPr>
          <w:rFonts w:ascii="Segoe UI" w:hAnsi="Segoe UI" w:cs="Segoe UI"/>
          <w:sz w:val="20"/>
          <w:szCs w:val="20"/>
        </w:rPr>
        <w:t>CdS</w:t>
      </w:r>
      <w:proofErr w:type="spellEnd"/>
      <w:r w:rsidRPr="001C5ED9">
        <w:rPr>
          <w:rFonts w:ascii="Segoe UI" w:hAnsi="Segoe UI" w:cs="Segoe UI"/>
          <w:sz w:val="20"/>
          <w:szCs w:val="20"/>
        </w:rPr>
        <w:t xml:space="preserve"> avendo acquisito almeno 20 CFU al I anno) e iC16 (percentuale di studenti che proseguono al II anno nello </w:t>
      </w:r>
      <w:r w:rsidRPr="001C5ED9">
        <w:rPr>
          <w:rFonts w:ascii="Segoe UI" w:hAnsi="Segoe UI" w:cs="Segoe UI"/>
          <w:sz w:val="20"/>
          <w:szCs w:val="20"/>
        </w:rPr>
        <w:lastRenderedPageBreak/>
        <w:t xml:space="preserve">stesso </w:t>
      </w:r>
      <w:proofErr w:type="spellStart"/>
      <w:r w:rsidRPr="001C5ED9">
        <w:rPr>
          <w:rFonts w:ascii="Segoe UI" w:hAnsi="Segoe UI" w:cs="Segoe UI"/>
          <w:sz w:val="20"/>
          <w:szCs w:val="20"/>
        </w:rPr>
        <w:t>CdS</w:t>
      </w:r>
      <w:proofErr w:type="spellEnd"/>
      <w:r w:rsidRPr="001C5ED9">
        <w:rPr>
          <w:rFonts w:ascii="Segoe UI" w:hAnsi="Segoe UI" w:cs="Segoe UI"/>
          <w:sz w:val="20"/>
          <w:szCs w:val="20"/>
        </w:rPr>
        <w:t xml:space="preserve"> avendo acquisito almeno 40 CFU al I anno) presentano una criticità solo in riferimento alla media degli atenei nazionali.</w:t>
      </w:r>
    </w:p>
    <w:p w14:paraId="49721248" w14:textId="77777777" w:rsidR="001C5ED9" w:rsidRPr="001C5ED9" w:rsidRDefault="001C5ED9" w:rsidP="001C5ED9">
      <w:pPr>
        <w:numPr>
          <w:ilvl w:val="0"/>
          <w:numId w:val="2"/>
        </w:num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 xml:space="preserve">L’indicatore iC17 (percentuale di immatricolati che si laureano entro un anno oltre la durata normale del corso nello stesso </w:t>
      </w:r>
      <w:proofErr w:type="spellStart"/>
      <w:r w:rsidRPr="001C5ED9">
        <w:rPr>
          <w:rFonts w:ascii="Segoe UI" w:hAnsi="Segoe UI" w:cs="Segoe UI"/>
          <w:sz w:val="20"/>
          <w:szCs w:val="20"/>
        </w:rPr>
        <w:t>CdS</w:t>
      </w:r>
      <w:proofErr w:type="spellEnd"/>
      <w:r w:rsidRPr="001C5ED9">
        <w:rPr>
          <w:rFonts w:ascii="Segoe UI" w:hAnsi="Segoe UI" w:cs="Segoe UI"/>
          <w:sz w:val="20"/>
          <w:szCs w:val="20"/>
        </w:rPr>
        <w:t>) presenta ancora una criticità, anche se i valori sono in costante miglioramento;</w:t>
      </w:r>
    </w:p>
    <w:p w14:paraId="452B9D6E" w14:textId="241F26DD" w:rsidR="001C5ED9" w:rsidRPr="001C5ED9" w:rsidRDefault="001C5ED9" w:rsidP="001C5ED9">
      <w:pPr>
        <w:numPr>
          <w:ilvl w:val="0"/>
          <w:numId w:val="2"/>
        </w:num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 xml:space="preserve">L’indicatore iC22 (percentuale di immatricolati che si laureano, nel </w:t>
      </w:r>
      <w:proofErr w:type="spellStart"/>
      <w:r w:rsidRPr="001C5ED9">
        <w:rPr>
          <w:rFonts w:ascii="Segoe UI" w:hAnsi="Segoe UI" w:cs="Segoe UI"/>
          <w:sz w:val="20"/>
          <w:szCs w:val="20"/>
        </w:rPr>
        <w:t>CdS</w:t>
      </w:r>
      <w:proofErr w:type="spellEnd"/>
      <w:r w:rsidRPr="001C5ED9">
        <w:rPr>
          <w:rFonts w:ascii="Segoe UI" w:hAnsi="Segoe UI" w:cs="Segoe UI"/>
          <w:sz w:val="20"/>
          <w:szCs w:val="20"/>
        </w:rPr>
        <w:t>, entro la durata normale del corso) presenta ancora un’</w:t>
      </w:r>
      <w:r w:rsidRPr="001C5ED9">
        <w:rPr>
          <w:rFonts w:ascii="Segoe UI" w:hAnsi="Segoe UI" w:cs="Segoe UI"/>
          <w:b/>
          <w:sz w:val="20"/>
          <w:szCs w:val="20"/>
          <w:u w:val="single"/>
        </w:rPr>
        <w:t>alta</w:t>
      </w:r>
      <w:r w:rsidRPr="001C5ED9">
        <w:rPr>
          <w:rFonts w:ascii="Segoe UI" w:hAnsi="Segoe UI" w:cs="Segoe UI"/>
          <w:sz w:val="20"/>
          <w:szCs w:val="20"/>
        </w:rPr>
        <w:t xml:space="preserve"> criticità;</w:t>
      </w:r>
    </w:p>
    <w:p w14:paraId="733FBFA9" w14:textId="5A22C4ED" w:rsidR="001C5ED9" w:rsidRPr="001C5ED9" w:rsidRDefault="001C5ED9" w:rsidP="001C5ED9">
      <w:p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>Gli indicatori legati all’internazionalizzazione (iC10 e iC11) sono sempre critici, con valori che oscillano da un anno all’altro.</w:t>
      </w:r>
    </w:p>
    <w:p w14:paraId="6FA8B1F3" w14:textId="77777777" w:rsidR="001C5ED9" w:rsidRPr="001C5ED9" w:rsidRDefault="001C5ED9" w:rsidP="001C5ED9">
      <w:pPr>
        <w:spacing w:after="0"/>
        <w:mirrorIndents/>
        <w:rPr>
          <w:rFonts w:ascii="Segoe UI" w:hAnsi="Segoe UI" w:cs="Segoe UI"/>
          <w:sz w:val="20"/>
          <w:szCs w:val="20"/>
        </w:rPr>
      </w:pPr>
      <w:r w:rsidRPr="001C5ED9">
        <w:rPr>
          <w:rFonts w:ascii="Segoe UI" w:hAnsi="Segoe UI" w:cs="Segoe UI"/>
          <w:sz w:val="20"/>
          <w:szCs w:val="20"/>
        </w:rPr>
        <w:t xml:space="preserve">Nota: l’indicatore iC00d (numero complessivo di studenti iscritti al primo o ad anni successivi al </w:t>
      </w:r>
      <w:proofErr w:type="spellStart"/>
      <w:r w:rsidRPr="001C5ED9">
        <w:rPr>
          <w:rFonts w:ascii="Segoe UI" w:hAnsi="Segoe UI" w:cs="Segoe UI"/>
          <w:sz w:val="20"/>
          <w:szCs w:val="20"/>
        </w:rPr>
        <w:t>CdS</w:t>
      </w:r>
      <w:proofErr w:type="spellEnd"/>
      <w:r w:rsidRPr="001C5ED9">
        <w:rPr>
          <w:rFonts w:ascii="Segoe UI" w:hAnsi="Segoe UI" w:cs="Segoe UI"/>
          <w:sz w:val="20"/>
          <w:szCs w:val="20"/>
        </w:rPr>
        <w:t>) è molto più alto di quello del Centro e del dato nazionale. Molti dei nostri problemi derivano da ciò. Vedi anche iC00e.</w:t>
      </w:r>
    </w:p>
    <w:p w14:paraId="417CABC0" w14:textId="5CBAFBB8" w:rsidR="00CF6ADA" w:rsidRDefault="00CF6ADA" w:rsidP="00CE0FAD">
      <w:pPr>
        <w:mirrorIndents/>
        <w:rPr>
          <w:rFonts w:ascii="Segoe UI" w:hAnsi="Segoe UI" w:cs="Segoe UI"/>
        </w:rPr>
      </w:pPr>
    </w:p>
    <w:sectPr w:rsidR="00CF6ADA" w:rsidSect="005A75EF">
      <w:footerReference w:type="default" r:id="rId8"/>
      <w:pgSz w:w="11906" w:h="16838"/>
      <w:pgMar w:top="1418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65088" w14:textId="77777777" w:rsidR="00541B75" w:rsidRDefault="00541B75" w:rsidP="00EE3D24">
      <w:pPr>
        <w:spacing w:after="0" w:line="240" w:lineRule="auto"/>
      </w:pPr>
      <w:r>
        <w:separator/>
      </w:r>
    </w:p>
  </w:endnote>
  <w:endnote w:type="continuationSeparator" w:id="0">
    <w:p w14:paraId="7D547A33" w14:textId="77777777" w:rsidR="00541B75" w:rsidRDefault="00541B75" w:rsidP="00EE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D57C" w14:textId="77777777" w:rsidR="00E26CEA" w:rsidRDefault="00E26CEA" w:rsidP="00E26CEA">
    <w:pPr>
      <w:pStyle w:val="Pidipagina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7054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7054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A1DF8" w14:textId="77777777" w:rsidR="00541B75" w:rsidRDefault="00541B75" w:rsidP="00EE3D24">
      <w:pPr>
        <w:spacing w:after="0" w:line="240" w:lineRule="auto"/>
      </w:pPr>
      <w:r>
        <w:separator/>
      </w:r>
    </w:p>
  </w:footnote>
  <w:footnote w:type="continuationSeparator" w:id="0">
    <w:p w14:paraId="01D453E9" w14:textId="77777777" w:rsidR="00541B75" w:rsidRDefault="00541B75" w:rsidP="00EE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367A0"/>
    <w:multiLevelType w:val="hybridMultilevel"/>
    <w:tmpl w:val="79AC16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A45"/>
    <w:multiLevelType w:val="hybridMultilevel"/>
    <w:tmpl w:val="D0725376"/>
    <w:lvl w:ilvl="0" w:tplc="E8800058">
      <w:start w:val="1"/>
      <w:numFmt w:val="bullet"/>
      <w:lvlText w:val=""/>
      <w:lvlJc w:val="left"/>
      <w:pPr>
        <w:tabs>
          <w:tab w:val="num" w:pos="567"/>
        </w:tabs>
        <w:ind w:left="907" w:hanging="113"/>
      </w:pPr>
      <w:rPr>
        <w:rFonts w:ascii="Symbol" w:hAnsi="Symbol" w:hint="default"/>
      </w:rPr>
    </w:lvl>
    <w:lvl w:ilvl="1" w:tplc="708AB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DA"/>
    <w:rsid w:val="000100A9"/>
    <w:rsid w:val="000153EE"/>
    <w:rsid w:val="00023DC5"/>
    <w:rsid w:val="00035EE7"/>
    <w:rsid w:val="0004131D"/>
    <w:rsid w:val="00054150"/>
    <w:rsid w:val="00056C97"/>
    <w:rsid w:val="000621CA"/>
    <w:rsid w:val="00067682"/>
    <w:rsid w:val="000678F4"/>
    <w:rsid w:val="00071881"/>
    <w:rsid w:val="0009175E"/>
    <w:rsid w:val="00097CAB"/>
    <w:rsid w:val="000C0669"/>
    <w:rsid w:val="000C1DFA"/>
    <w:rsid w:val="000C6057"/>
    <w:rsid w:val="000C6161"/>
    <w:rsid w:val="000C77FE"/>
    <w:rsid w:val="000D5368"/>
    <w:rsid w:val="000E5A9C"/>
    <w:rsid w:val="000F2451"/>
    <w:rsid w:val="00106037"/>
    <w:rsid w:val="00122F6D"/>
    <w:rsid w:val="001241C6"/>
    <w:rsid w:val="0012519E"/>
    <w:rsid w:val="0012678D"/>
    <w:rsid w:val="001267C7"/>
    <w:rsid w:val="00135812"/>
    <w:rsid w:val="00146F43"/>
    <w:rsid w:val="0014772C"/>
    <w:rsid w:val="00154673"/>
    <w:rsid w:val="00154BD6"/>
    <w:rsid w:val="001620B0"/>
    <w:rsid w:val="001731F4"/>
    <w:rsid w:val="001734FF"/>
    <w:rsid w:val="00192844"/>
    <w:rsid w:val="001945D2"/>
    <w:rsid w:val="001A102C"/>
    <w:rsid w:val="001A1DC3"/>
    <w:rsid w:val="001A1DD6"/>
    <w:rsid w:val="001C1D68"/>
    <w:rsid w:val="001C3460"/>
    <w:rsid w:val="001C39C8"/>
    <w:rsid w:val="001C4978"/>
    <w:rsid w:val="001C5ED9"/>
    <w:rsid w:val="001D40AB"/>
    <w:rsid w:val="001E795B"/>
    <w:rsid w:val="001F4129"/>
    <w:rsid w:val="00204F74"/>
    <w:rsid w:val="00207A4A"/>
    <w:rsid w:val="002200DF"/>
    <w:rsid w:val="002336EB"/>
    <w:rsid w:val="00242284"/>
    <w:rsid w:val="00246663"/>
    <w:rsid w:val="00265285"/>
    <w:rsid w:val="002756CB"/>
    <w:rsid w:val="00275E48"/>
    <w:rsid w:val="0027720C"/>
    <w:rsid w:val="00282D04"/>
    <w:rsid w:val="00295559"/>
    <w:rsid w:val="002A2790"/>
    <w:rsid w:val="002A3ABE"/>
    <w:rsid w:val="002A6CB9"/>
    <w:rsid w:val="002B1D6B"/>
    <w:rsid w:val="002B2095"/>
    <w:rsid w:val="002B7566"/>
    <w:rsid w:val="002C0BB2"/>
    <w:rsid w:val="002D7493"/>
    <w:rsid w:val="002E660D"/>
    <w:rsid w:val="002E7CD2"/>
    <w:rsid w:val="002F6578"/>
    <w:rsid w:val="00301B88"/>
    <w:rsid w:val="003047BD"/>
    <w:rsid w:val="003258D6"/>
    <w:rsid w:val="0033332F"/>
    <w:rsid w:val="0033655B"/>
    <w:rsid w:val="00341698"/>
    <w:rsid w:val="003461B8"/>
    <w:rsid w:val="0035363E"/>
    <w:rsid w:val="003571ED"/>
    <w:rsid w:val="00373F76"/>
    <w:rsid w:val="00383B83"/>
    <w:rsid w:val="003A1D9F"/>
    <w:rsid w:val="003A3766"/>
    <w:rsid w:val="003A55B8"/>
    <w:rsid w:val="003A561D"/>
    <w:rsid w:val="003B0D22"/>
    <w:rsid w:val="003B58C6"/>
    <w:rsid w:val="003B5AA4"/>
    <w:rsid w:val="003C00E7"/>
    <w:rsid w:val="003C3C5D"/>
    <w:rsid w:val="003C3F3D"/>
    <w:rsid w:val="003C7ED6"/>
    <w:rsid w:val="003F28CA"/>
    <w:rsid w:val="003F3002"/>
    <w:rsid w:val="003F3DAE"/>
    <w:rsid w:val="004040DB"/>
    <w:rsid w:val="0041391E"/>
    <w:rsid w:val="00421E19"/>
    <w:rsid w:val="00425F7E"/>
    <w:rsid w:val="004331E0"/>
    <w:rsid w:val="004347DE"/>
    <w:rsid w:val="00437695"/>
    <w:rsid w:val="00457EDF"/>
    <w:rsid w:val="00461061"/>
    <w:rsid w:val="00464134"/>
    <w:rsid w:val="0047278E"/>
    <w:rsid w:val="00476C28"/>
    <w:rsid w:val="00477ECE"/>
    <w:rsid w:val="00480D5E"/>
    <w:rsid w:val="004816D4"/>
    <w:rsid w:val="00482FC4"/>
    <w:rsid w:val="00485CA3"/>
    <w:rsid w:val="004A5193"/>
    <w:rsid w:val="004A520F"/>
    <w:rsid w:val="004C5475"/>
    <w:rsid w:val="004D44C9"/>
    <w:rsid w:val="004D6A55"/>
    <w:rsid w:val="004E236C"/>
    <w:rsid w:val="004E3C5E"/>
    <w:rsid w:val="004E7C44"/>
    <w:rsid w:val="0051352D"/>
    <w:rsid w:val="0051366C"/>
    <w:rsid w:val="00515240"/>
    <w:rsid w:val="00526156"/>
    <w:rsid w:val="00534E69"/>
    <w:rsid w:val="00537BB2"/>
    <w:rsid w:val="00541B75"/>
    <w:rsid w:val="00541DD5"/>
    <w:rsid w:val="00561229"/>
    <w:rsid w:val="00563193"/>
    <w:rsid w:val="00563A17"/>
    <w:rsid w:val="00575975"/>
    <w:rsid w:val="005847BB"/>
    <w:rsid w:val="00590698"/>
    <w:rsid w:val="00590EA3"/>
    <w:rsid w:val="005A10FF"/>
    <w:rsid w:val="005A427D"/>
    <w:rsid w:val="005A75EF"/>
    <w:rsid w:val="005B388F"/>
    <w:rsid w:val="005B6F93"/>
    <w:rsid w:val="005C347F"/>
    <w:rsid w:val="005C7B4D"/>
    <w:rsid w:val="005D3443"/>
    <w:rsid w:val="005D5F63"/>
    <w:rsid w:val="005D6880"/>
    <w:rsid w:val="005E40C8"/>
    <w:rsid w:val="005F5E07"/>
    <w:rsid w:val="00600D94"/>
    <w:rsid w:val="006012A0"/>
    <w:rsid w:val="006020C8"/>
    <w:rsid w:val="006078E6"/>
    <w:rsid w:val="006136EB"/>
    <w:rsid w:val="006213E9"/>
    <w:rsid w:val="0062231E"/>
    <w:rsid w:val="0062414E"/>
    <w:rsid w:val="00625FED"/>
    <w:rsid w:val="00627887"/>
    <w:rsid w:val="00640107"/>
    <w:rsid w:val="00645953"/>
    <w:rsid w:val="00650DCC"/>
    <w:rsid w:val="00653091"/>
    <w:rsid w:val="006531CE"/>
    <w:rsid w:val="006646BE"/>
    <w:rsid w:val="00674160"/>
    <w:rsid w:val="0067796D"/>
    <w:rsid w:val="00677AA6"/>
    <w:rsid w:val="00683DF2"/>
    <w:rsid w:val="006854B0"/>
    <w:rsid w:val="006901DF"/>
    <w:rsid w:val="00692E58"/>
    <w:rsid w:val="006A0E1F"/>
    <w:rsid w:val="006A360D"/>
    <w:rsid w:val="006A7047"/>
    <w:rsid w:val="006B36A9"/>
    <w:rsid w:val="006B467D"/>
    <w:rsid w:val="006D0BA3"/>
    <w:rsid w:val="006D791D"/>
    <w:rsid w:val="006E314E"/>
    <w:rsid w:val="006E60FB"/>
    <w:rsid w:val="006E70BC"/>
    <w:rsid w:val="006F17D1"/>
    <w:rsid w:val="006F4203"/>
    <w:rsid w:val="006F4966"/>
    <w:rsid w:val="00704261"/>
    <w:rsid w:val="00704613"/>
    <w:rsid w:val="00705437"/>
    <w:rsid w:val="0073056D"/>
    <w:rsid w:val="007325BD"/>
    <w:rsid w:val="007360E4"/>
    <w:rsid w:val="007374E5"/>
    <w:rsid w:val="00740D11"/>
    <w:rsid w:val="007418FC"/>
    <w:rsid w:val="00741C00"/>
    <w:rsid w:val="00744989"/>
    <w:rsid w:val="007502C2"/>
    <w:rsid w:val="007550F7"/>
    <w:rsid w:val="00757267"/>
    <w:rsid w:val="007639BD"/>
    <w:rsid w:val="007651EA"/>
    <w:rsid w:val="00765307"/>
    <w:rsid w:val="00767149"/>
    <w:rsid w:val="0076753F"/>
    <w:rsid w:val="00777C5B"/>
    <w:rsid w:val="007919E8"/>
    <w:rsid w:val="0079585D"/>
    <w:rsid w:val="0079600E"/>
    <w:rsid w:val="007B6987"/>
    <w:rsid w:val="007B7FB8"/>
    <w:rsid w:val="007C250B"/>
    <w:rsid w:val="007E2F6E"/>
    <w:rsid w:val="007F70CA"/>
    <w:rsid w:val="008164AD"/>
    <w:rsid w:val="00820C40"/>
    <w:rsid w:val="00825331"/>
    <w:rsid w:val="00831D5F"/>
    <w:rsid w:val="00832F52"/>
    <w:rsid w:val="00833D8F"/>
    <w:rsid w:val="008348E2"/>
    <w:rsid w:val="00843E3F"/>
    <w:rsid w:val="00846D57"/>
    <w:rsid w:val="0084796C"/>
    <w:rsid w:val="0086723E"/>
    <w:rsid w:val="008735E2"/>
    <w:rsid w:val="008759C9"/>
    <w:rsid w:val="00882778"/>
    <w:rsid w:val="00883549"/>
    <w:rsid w:val="008A5C34"/>
    <w:rsid w:val="008B1E98"/>
    <w:rsid w:val="008B5679"/>
    <w:rsid w:val="008C02E6"/>
    <w:rsid w:val="008C33E8"/>
    <w:rsid w:val="008C725C"/>
    <w:rsid w:val="008D3ED0"/>
    <w:rsid w:val="008D5536"/>
    <w:rsid w:val="008D5866"/>
    <w:rsid w:val="008E1B2B"/>
    <w:rsid w:val="008F59EB"/>
    <w:rsid w:val="00901AEB"/>
    <w:rsid w:val="00902A5E"/>
    <w:rsid w:val="00904ADE"/>
    <w:rsid w:val="00911B11"/>
    <w:rsid w:val="00924EE1"/>
    <w:rsid w:val="0095017B"/>
    <w:rsid w:val="0095124A"/>
    <w:rsid w:val="00955525"/>
    <w:rsid w:val="0096277E"/>
    <w:rsid w:val="00976F32"/>
    <w:rsid w:val="009873EB"/>
    <w:rsid w:val="009A5FDD"/>
    <w:rsid w:val="009A641E"/>
    <w:rsid w:val="009A6954"/>
    <w:rsid w:val="009B12F2"/>
    <w:rsid w:val="009B2D5E"/>
    <w:rsid w:val="009C372D"/>
    <w:rsid w:val="009C5183"/>
    <w:rsid w:val="009C7348"/>
    <w:rsid w:val="009D3CBB"/>
    <w:rsid w:val="009D5BD8"/>
    <w:rsid w:val="009D635A"/>
    <w:rsid w:val="009E60CF"/>
    <w:rsid w:val="00A04AF8"/>
    <w:rsid w:val="00A07517"/>
    <w:rsid w:val="00A07FBB"/>
    <w:rsid w:val="00A1383D"/>
    <w:rsid w:val="00A26C62"/>
    <w:rsid w:val="00A3186F"/>
    <w:rsid w:val="00A3557C"/>
    <w:rsid w:val="00A65179"/>
    <w:rsid w:val="00A7398E"/>
    <w:rsid w:val="00A84AB3"/>
    <w:rsid w:val="00A87E8E"/>
    <w:rsid w:val="00A91BC4"/>
    <w:rsid w:val="00AB09C9"/>
    <w:rsid w:val="00AB17D7"/>
    <w:rsid w:val="00AB29EF"/>
    <w:rsid w:val="00AB4109"/>
    <w:rsid w:val="00AB7588"/>
    <w:rsid w:val="00AC3A76"/>
    <w:rsid w:val="00AD5726"/>
    <w:rsid w:val="00AE7076"/>
    <w:rsid w:val="00AE7382"/>
    <w:rsid w:val="00AF1285"/>
    <w:rsid w:val="00AF211A"/>
    <w:rsid w:val="00AF436E"/>
    <w:rsid w:val="00B015F8"/>
    <w:rsid w:val="00B03B0C"/>
    <w:rsid w:val="00B045F0"/>
    <w:rsid w:val="00B07D23"/>
    <w:rsid w:val="00B2155B"/>
    <w:rsid w:val="00B21D12"/>
    <w:rsid w:val="00B576B2"/>
    <w:rsid w:val="00B653CB"/>
    <w:rsid w:val="00B70541"/>
    <w:rsid w:val="00B714B1"/>
    <w:rsid w:val="00B756B9"/>
    <w:rsid w:val="00B80C24"/>
    <w:rsid w:val="00B90C0D"/>
    <w:rsid w:val="00B94D09"/>
    <w:rsid w:val="00BC4724"/>
    <w:rsid w:val="00BC672D"/>
    <w:rsid w:val="00BD0699"/>
    <w:rsid w:val="00BE2143"/>
    <w:rsid w:val="00BE2AB4"/>
    <w:rsid w:val="00BE2D9A"/>
    <w:rsid w:val="00BE50F3"/>
    <w:rsid w:val="00BF2D2B"/>
    <w:rsid w:val="00BF4B37"/>
    <w:rsid w:val="00C02D14"/>
    <w:rsid w:val="00C249E3"/>
    <w:rsid w:val="00C365A4"/>
    <w:rsid w:val="00C36AC3"/>
    <w:rsid w:val="00C405EB"/>
    <w:rsid w:val="00C409F3"/>
    <w:rsid w:val="00C42CF5"/>
    <w:rsid w:val="00C646CC"/>
    <w:rsid w:val="00C666E5"/>
    <w:rsid w:val="00C72EAD"/>
    <w:rsid w:val="00C76401"/>
    <w:rsid w:val="00C84D99"/>
    <w:rsid w:val="00CA16B9"/>
    <w:rsid w:val="00CB7881"/>
    <w:rsid w:val="00CC175E"/>
    <w:rsid w:val="00CD0AD0"/>
    <w:rsid w:val="00CE0FAD"/>
    <w:rsid w:val="00CF6ADA"/>
    <w:rsid w:val="00D01292"/>
    <w:rsid w:val="00D044C1"/>
    <w:rsid w:val="00D054D6"/>
    <w:rsid w:val="00D35B90"/>
    <w:rsid w:val="00D54BDD"/>
    <w:rsid w:val="00D55F1C"/>
    <w:rsid w:val="00D66407"/>
    <w:rsid w:val="00D67077"/>
    <w:rsid w:val="00D71954"/>
    <w:rsid w:val="00D83062"/>
    <w:rsid w:val="00D929EE"/>
    <w:rsid w:val="00DB3D4D"/>
    <w:rsid w:val="00DC317B"/>
    <w:rsid w:val="00DD1D50"/>
    <w:rsid w:val="00DD3DD4"/>
    <w:rsid w:val="00DD4055"/>
    <w:rsid w:val="00E04393"/>
    <w:rsid w:val="00E0508A"/>
    <w:rsid w:val="00E1686D"/>
    <w:rsid w:val="00E171FD"/>
    <w:rsid w:val="00E26CEA"/>
    <w:rsid w:val="00E27C43"/>
    <w:rsid w:val="00E410E2"/>
    <w:rsid w:val="00E425EE"/>
    <w:rsid w:val="00E44E68"/>
    <w:rsid w:val="00E45571"/>
    <w:rsid w:val="00E52243"/>
    <w:rsid w:val="00E54DC5"/>
    <w:rsid w:val="00E55441"/>
    <w:rsid w:val="00E57CC2"/>
    <w:rsid w:val="00E61847"/>
    <w:rsid w:val="00E70A61"/>
    <w:rsid w:val="00E75E02"/>
    <w:rsid w:val="00E81CE9"/>
    <w:rsid w:val="00E83BEF"/>
    <w:rsid w:val="00E85E8E"/>
    <w:rsid w:val="00E90194"/>
    <w:rsid w:val="00E91441"/>
    <w:rsid w:val="00E97AB4"/>
    <w:rsid w:val="00EA3C7D"/>
    <w:rsid w:val="00EA4FE9"/>
    <w:rsid w:val="00EA5A41"/>
    <w:rsid w:val="00EB3660"/>
    <w:rsid w:val="00EB633D"/>
    <w:rsid w:val="00EC0B21"/>
    <w:rsid w:val="00EC667D"/>
    <w:rsid w:val="00ED2CFA"/>
    <w:rsid w:val="00EE3D24"/>
    <w:rsid w:val="00EE7333"/>
    <w:rsid w:val="00EF13CD"/>
    <w:rsid w:val="00EF16FE"/>
    <w:rsid w:val="00F042D6"/>
    <w:rsid w:val="00F20BEB"/>
    <w:rsid w:val="00F517E8"/>
    <w:rsid w:val="00F5456C"/>
    <w:rsid w:val="00F60418"/>
    <w:rsid w:val="00F82D2E"/>
    <w:rsid w:val="00F87EFA"/>
    <w:rsid w:val="00F95E62"/>
    <w:rsid w:val="00FA45D2"/>
    <w:rsid w:val="00FA4F85"/>
    <w:rsid w:val="00FB1690"/>
    <w:rsid w:val="00FB7121"/>
    <w:rsid w:val="00FB74CC"/>
    <w:rsid w:val="00FC7871"/>
    <w:rsid w:val="00FC7FB6"/>
    <w:rsid w:val="00FD25C1"/>
    <w:rsid w:val="00FD3612"/>
    <w:rsid w:val="00FF4AAF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2E0B8"/>
  <w15:docId w15:val="{05382CA0-EF10-4959-BA88-1D61D38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AD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3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E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D24"/>
  </w:style>
  <w:style w:type="paragraph" w:styleId="Pidipagina">
    <w:name w:val="footer"/>
    <w:basedOn w:val="Normale"/>
    <w:link w:val="PidipaginaCarattere"/>
    <w:uiPriority w:val="99"/>
    <w:unhideWhenUsed/>
    <w:rsid w:val="00EE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D24"/>
  </w:style>
  <w:style w:type="character" w:styleId="Rimandocommento">
    <w:name w:val="annotation reference"/>
    <w:basedOn w:val="Carpredefinitoparagrafo"/>
    <w:uiPriority w:val="99"/>
    <w:semiHidden/>
    <w:unhideWhenUsed/>
    <w:rsid w:val="00D67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7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7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Dovico</dc:creator>
  <cp:lastModifiedBy>Gianluca Brunori</cp:lastModifiedBy>
  <cp:revision>18</cp:revision>
  <cp:lastPrinted>2018-05-16T07:28:00Z</cp:lastPrinted>
  <dcterms:created xsi:type="dcterms:W3CDTF">2020-10-30T14:49:00Z</dcterms:created>
  <dcterms:modified xsi:type="dcterms:W3CDTF">2020-11-22T17:54:00Z</dcterms:modified>
</cp:coreProperties>
</file>