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17"/>
        <w:gridCol w:w="5773"/>
      </w:tblGrid>
      <w:tr w:rsidR="00CF6ADA" w:rsidRPr="005E48B6" w:rsidTr="000C6161">
        <w:trPr>
          <w:jc w:val="center"/>
        </w:trPr>
        <w:tc>
          <w:tcPr>
            <w:tcW w:w="2550" w:type="dxa"/>
            <w:shd w:val="clear" w:color="auto" w:fill="DEEAF6" w:themeFill="accent1" w:themeFillTint="33"/>
            <w:vAlign w:val="center"/>
          </w:tcPr>
          <w:p w:rsidR="00CF6ADA" w:rsidRPr="005E48B6" w:rsidRDefault="000C6161" w:rsidP="003C00E7">
            <w:pPr>
              <w:spacing w:before="240" w:after="120"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GoBack"/>
            <w:bookmarkEnd w:id="0"/>
            <w:r w:rsidRPr="00A97AC3">
              <w:rPr>
                <w:rFonts w:ascii="Segoe UI" w:hAnsi="Segoe UI" w:cs="Segoe UI"/>
                <w:noProof/>
              </w:rPr>
              <w:drawing>
                <wp:inline distT="0" distB="0" distL="0" distR="0" wp14:anchorId="37A3656E" wp14:editId="127708C1">
                  <wp:extent cx="2160000" cy="730909"/>
                  <wp:effectExtent l="0" t="0" r="0" b="0"/>
                  <wp:docPr id="2" name="Immagine 2" descr="C:\Users\dovico\Desktop\Pacchetto logo formato png\marchio_unipi_orizz_pant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vico\Desktop\Pacchetto logo formato png\marchio_unipi_orizz_pant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DEEAF6" w:themeFill="accent1" w:themeFillTint="33"/>
            <w:vAlign w:val="center"/>
          </w:tcPr>
          <w:p w:rsidR="000678F4" w:rsidRDefault="000678F4" w:rsidP="000C6161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Allegato alla </w:t>
            </w:r>
            <w:r w:rsidR="000C6161">
              <w:rPr>
                <w:rFonts w:ascii="Segoe UI" w:hAnsi="Segoe UI" w:cs="Segoe UI"/>
                <w:b/>
                <w:sz w:val="24"/>
                <w:szCs w:val="28"/>
              </w:rPr>
              <w:t>d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elibera di </w:t>
            </w:r>
            <w:r w:rsidR="000C6161">
              <w:rPr>
                <w:rFonts w:ascii="Segoe UI" w:hAnsi="Segoe UI" w:cs="Segoe UI"/>
                <w:b/>
                <w:sz w:val="24"/>
                <w:szCs w:val="28"/>
              </w:rPr>
              <w:t>a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pprovazione della</w:t>
            </w:r>
          </w:p>
          <w:p w:rsidR="000678F4" w:rsidRPr="005E48B6" w:rsidRDefault="00CF6ADA" w:rsidP="000C6161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5E48B6">
              <w:rPr>
                <w:rFonts w:ascii="Segoe UI" w:hAnsi="Segoe UI" w:cs="Segoe UI"/>
                <w:b/>
                <w:sz w:val="24"/>
                <w:szCs w:val="28"/>
              </w:rPr>
              <w:t>Scheda di Monitoraggio Annuale</w:t>
            </w:r>
          </w:p>
        </w:tc>
      </w:tr>
    </w:tbl>
    <w:p w:rsidR="00CF6ADA" w:rsidRPr="00514117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:rsidTr="00CE0FAD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:rsidR="00154673" w:rsidRPr="00331781" w:rsidRDefault="00154673" w:rsidP="00154673">
            <w:pPr>
              <w:spacing w:after="160" w:line="276" w:lineRule="auto"/>
              <w:mirrorIndents/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</w:pPr>
            <w:r w:rsidRPr="00331781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Denominazione del Corso di Studio:</w:t>
            </w:r>
            <w:r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 xml:space="preserve"> Viticoltura ed Enologia</w:t>
            </w:r>
          </w:p>
          <w:p w:rsidR="00154673" w:rsidRPr="00331781" w:rsidRDefault="00154673" w:rsidP="00154673">
            <w:pPr>
              <w:spacing w:after="160" w:line="276" w:lineRule="auto"/>
              <w:mirrorIndents/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</w:pPr>
            <w:r w:rsidRPr="00331781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Classe:</w:t>
            </w:r>
            <w:r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 xml:space="preserve"> </w:t>
            </w:r>
            <w:r w:rsidRPr="00A46AB3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L-26 Scienze e tecnologie alimentari</w:t>
            </w:r>
          </w:p>
          <w:p w:rsidR="00154673" w:rsidRPr="00331781" w:rsidRDefault="00154673" w:rsidP="00154673">
            <w:pPr>
              <w:spacing w:after="160" w:line="276" w:lineRule="auto"/>
              <w:mirrorIndents/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</w:pPr>
            <w:r w:rsidRPr="00331781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Sede:</w:t>
            </w:r>
            <w:r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 xml:space="preserve"> Pisa</w:t>
            </w:r>
          </w:p>
          <w:p w:rsidR="00CF6ADA" w:rsidRPr="005B388F" w:rsidRDefault="00154673" w:rsidP="00154673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331781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Primo anno accademico di attivazione:</w:t>
            </w:r>
            <w:r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 xml:space="preserve"> 2013</w:t>
            </w:r>
          </w:p>
        </w:tc>
      </w:tr>
    </w:tbl>
    <w:p w:rsidR="00CF6ADA" w:rsidRPr="00514117" w:rsidRDefault="00CF6ADA" w:rsidP="00CE0FAD">
      <w:pPr>
        <w:mirrorIndents/>
        <w:jc w:val="both"/>
        <w:rPr>
          <w:rFonts w:ascii="Segoe UI" w:hAnsi="Segoe UI" w:cs="Segoe UI"/>
          <w:b/>
          <w:smallCaps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:rsidTr="00CE0FAD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b/>
                <w:szCs w:val="22"/>
              </w:rPr>
              <w:t xml:space="preserve">Gruppo di Riesame 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Componenti obbligatori: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 xml:space="preserve">Prof. Gianluca </w:t>
            </w:r>
            <w:proofErr w:type="spellStart"/>
            <w:r w:rsidRPr="00A46AB3">
              <w:rPr>
                <w:rFonts w:asciiTheme="minorHAnsi" w:hAnsiTheme="minorHAnsi" w:cs="Segoe UI"/>
                <w:sz w:val="22"/>
                <w:szCs w:val="22"/>
              </w:rPr>
              <w:t>Brunori</w:t>
            </w:r>
            <w:proofErr w:type="spellEnd"/>
            <w:r w:rsidRPr="00A46AB3">
              <w:rPr>
                <w:rFonts w:asciiTheme="minorHAnsi" w:hAnsiTheme="minorHAnsi" w:cs="Segoe UI"/>
                <w:sz w:val="22"/>
                <w:szCs w:val="22"/>
              </w:rPr>
              <w:t xml:space="preserve"> (Presidente del CdS, Responsabile del Riesame)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Sig. Borelli Raffaele (Rappresentante degli studenti)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Altri componenti: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 xml:space="preserve">Prof. Mike Frank Quartacci (Docente del CdS, Responsabile </w:t>
            </w:r>
            <w:proofErr w:type="spellStart"/>
            <w:r w:rsidRPr="00A46AB3">
              <w:rPr>
                <w:rFonts w:asciiTheme="minorHAnsi" w:hAnsiTheme="minorHAnsi" w:cs="Segoe UI"/>
                <w:sz w:val="22"/>
                <w:szCs w:val="22"/>
              </w:rPr>
              <w:t>AQ</w:t>
            </w:r>
            <w:proofErr w:type="spellEnd"/>
            <w:r w:rsidRPr="00A46AB3">
              <w:rPr>
                <w:rFonts w:asciiTheme="minorHAnsi" w:hAnsiTheme="minorHAnsi" w:cs="Segoe UI"/>
                <w:sz w:val="22"/>
                <w:szCs w:val="22"/>
              </w:rPr>
              <w:t xml:space="preserve"> del CdS)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Prof. Alberto Materazzi (Docente del CdS)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Prof. Michele Raffaelli (Docente del CdS)</w:t>
            </w:r>
          </w:p>
          <w:p w:rsidR="00154673" w:rsidRPr="00A46AB3" w:rsidRDefault="00154673" w:rsidP="00154673">
            <w:pPr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46AB3">
              <w:rPr>
                <w:rFonts w:asciiTheme="minorHAnsi" w:hAnsiTheme="minorHAnsi" w:cs="Segoe UI"/>
                <w:sz w:val="22"/>
                <w:szCs w:val="22"/>
              </w:rPr>
              <w:t>Dott. Stefano Fanti (Tecnico Amministrativo con funzione di Responsabile dell’Unità Didattica)</w:t>
            </w:r>
          </w:p>
          <w:p w:rsidR="00154673" w:rsidRDefault="00154673" w:rsidP="00CE0FAD">
            <w:pPr>
              <w:spacing w:after="160" w:line="259" w:lineRule="auto"/>
              <w:mirrorIndents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CF6ADA" w:rsidRPr="00154673" w:rsidRDefault="00154673" w:rsidP="00CE0FAD">
            <w:pPr>
              <w:spacing w:after="160" w:line="259" w:lineRule="auto"/>
              <w:mirrorIndents/>
              <w:rPr>
                <w:rFonts w:asciiTheme="minorHAnsi" w:hAnsiTheme="minorHAnsi" w:cs="Segoe UI"/>
                <w:sz w:val="22"/>
                <w:szCs w:val="22"/>
              </w:rPr>
            </w:pPr>
            <w:r w:rsidRPr="00A96B02">
              <w:rPr>
                <w:rFonts w:asciiTheme="minorHAnsi" w:hAnsiTheme="minorHAnsi" w:cs="Segoe UI"/>
                <w:sz w:val="22"/>
                <w:szCs w:val="22"/>
              </w:rPr>
              <w:t>Il Gruppo di Riesame si è riunito, per la discussione degli indicatori riportati nei quadri di questa Scheda di Monitoraggio Annuale, operando come segue:</w:t>
            </w:r>
          </w:p>
          <w:p w:rsidR="00CF6ADA" w:rsidRDefault="00154673" w:rsidP="00CE0FAD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 29 Novembre 2019: discussione degli indicatori e approvazione della bozza di scheda di monitoraggio annuale</w:t>
            </w:r>
          </w:p>
          <w:p w:rsidR="00154673" w:rsidRPr="005E48B6" w:rsidRDefault="00154673" w:rsidP="00CE0FAD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29 Novembre 2019: approvazione della scheda di monitoraggio annuale da parte del Consiglio di Corso di Laurea</w:t>
            </w:r>
          </w:p>
        </w:tc>
      </w:tr>
    </w:tbl>
    <w:p w:rsidR="00CF6ADA" w:rsidRPr="00514117" w:rsidRDefault="00CF6ADA" w:rsidP="00CE0FAD">
      <w:pPr>
        <w:mirrorIndents/>
        <w:rPr>
          <w:rFonts w:ascii="Segoe UI" w:hAnsi="Segoe UI" w:cs="Segoe UI"/>
          <w:sz w:val="10"/>
        </w:rPr>
      </w:pPr>
    </w:p>
    <w:p w:rsidR="001C1D68" w:rsidRDefault="001C1D6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:rsidTr="005847BB">
        <w:trPr>
          <w:jc w:val="center"/>
        </w:trPr>
        <w:tc>
          <w:tcPr>
            <w:tcW w:w="9392" w:type="dxa"/>
            <w:shd w:val="clear" w:color="auto" w:fill="D5DCE4"/>
            <w:vAlign w:val="center"/>
          </w:tcPr>
          <w:p w:rsidR="00CF6ADA" w:rsidRPr="005E48B6" w:rsidRDefault="00CF6ADA" w:rsidP="00CE0FAD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lastRenderedPageBreak/>
              <w:t>BREVE COMMENTO AGLI INDICATORI</w:t>
            </w:r>
          </w:p>
        </w:tc>
      </w:tr>
    </w:tbl>
    <w:p w:rsidR="00CF6ADA" w:rsidRPr="00514117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:rsidTr="005847BB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L’analisi è stata condotta sulla base del set di indicatori reso disponibile dall’ANVUR attraverso la scheda di monitoraggio annuale del CdS (</w:t>
            </w:r>
            <w:r w:rsidRPr="00BD7264">
              <w:rPr>
                <w:rFonts w:cs="Lucida Sans Unicode"/>
                <w:b/>
                <w:color w:val="000000" w:themeColor="text1"/>
                <w:sz w:val="18"/>
                <w:szCs w:val="18"/>
              </w:rPr>
              <w:t>D3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). Gli indicatori sono quelli risultanti alla data del </w:t>
            </w:r>
            <w:r w:rsidR="0051352D">
              <w:rPr>
                <w:rFonts w:cs="Lucida Sans Unicode"/>
                <w:color w:val="000000" w:themeColor="text1"/>
                <w:sz w:val="18"/>
                <w:szCs w:val="18"/>
              </w:rPr>
              <w:t>28 settembre 2019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e consentono una valutazione della performance del CdS attraverso il confronto sia di tipo longitudinale (variazione degli indicatori</w:t>
            </w:r>
            <w:r w:rsidR="007550F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rispetto agli anni precedenti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) che trasversale (valore degli indicatori rispetto ai benchmark di riferimento, ovvero i CdS della stessa classe erogati nell’area geografica di appartenenza - Centro - e a livello nazionale).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Immatricolati ed iscritti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 xml:space="preserve">iC00a, iC00b, iC00d: </w:t>
            </w:r>
            <w:r w:rsidR="005F5E07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Punto di forza/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Criticità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Nel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2018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il CdS avviava alla carriera al primo anno 1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30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studenti, dopo un picco di 134 studenti nel 2014. L’aumento del numero di immatricolati ha influenzato il numero complessivo di iscritti (iC00d) che al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2018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risulta pari a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420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 Per il CdS, questo indicatore rappresenta un fattore di attrattività e dunque un punto di forza, ma anche un fattore di criticità, in relazione alla pressione del numero di studenti sulle ore di docenza disponibili e sulle strutture.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Attrattività del CdS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iC03: Punto di forza</w:t>
            </w:r>
          </w:p>
          <w:p w:rsidR="00154673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Il CdS presenta una forte attrattività nei confronti di altre regioni, come mostrato dall’indicatore iC03 (percentuale di iscritti al primo anno (L, LMCU) provenienti da altre Regioni</w:t>
            </w:r>
            <w:r w:rsidR="00D67077">
              <w:rPr>
                <w:rFonts w:cs="Lucida Sans Unicode"/>
                <w:color w:val="000000" w:themeColor="text1"/>
                <w:sz w:val="18"/>
                <w:szCs w:val="18"/>
              </w:rPr>
              <w:t>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, valore 20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18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>35,4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%, in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 xml:space="preserve">crescita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rispetto </w:t>
            </w:r>
            <w:r w:rsidR="006F17D1">
              <w:rPr>
                <w:rFonts w:cs="Lucida Sans Unicode"/>
                <w:color w:val="000000" w:themeColor="text1"/>
                <w:sz w:val="18"/>
                <w:szCs w:val="18"/>
              </w:rPr>
              <w:t xml:space="preserve">all’anno precedente che peraltro aveva messo in evidenza un temporaneo calo. Il dato è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superiore a quello di altri Atenei.</w:t>
            </w:r>
          </w:p>
          <w:p w:rsidR="005F5E07" w:rsidRPr="006F17D1" w:rsidRDefault="005F5E0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Prosecuzione degli studi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iC14, iC21, iC23: Criticità simile a quella di altri Atenei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iC14, iC21, iC23 non mostrano scostamenti rilevanti rispetto ad altri Atenei.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Nel 2018 ha proseguito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studi nel CdS dopo il 1° anno il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63,8%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degli studenti, mentre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aumenta la percentuale di studenti che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cambia CdS rimanendo nello stesso ateneo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(10%)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iC24: Punto di debolezza</w:t>
            </w:r>
          </w:p>
          <w:p w:rsidR="00154673" w:rsidRPr="003F3002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L’indicatore iC24 evidenzia criticità riguardo alla </w:t>
            </w:r>
            <w:r w:rsidRPr="009C5B8A">
              <w:rPr>
                <w:rFonts w:cs="Lucida Sans Unicode"/>
                <w:b/>
                <w:color w:val="000000" w:themeColor="text1"/>
                <w:sz w:val="18"/>
                <w:szCs w:val="18"/>
              </w:rPr>
              <w:t>percentuale di abbandoni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del CdS dopo N+1 anni (valore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40,2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%).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Si registra peraltro un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miglioramento rispetto al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(valore nel 201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>53,6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che fa avvicinare notevolmente il </w:t>
            </w:r>
            <w:r w:rsidR="00EA5A41">
              <w:rPr>
                <w:rFonts w:cs="Lucida Sans Unicode"/>
                <w:color w:val="000000" w:themeColor="text1"/>
                <w:sz w:val="18"/>
                <w:szCs w:val="18"/>
              </w:rPr>
              <w:t>CdS</w:t>
            </w:r>
            <w:r w:rsidR="00C646CC">
              <w:rPr>
                <w:rFonts w:cs="Lucida Sans Unicode"/>
                <w:color w:val="000000" w:themeColor="text1"/>
                <w:sz w:val="18"/>
                <w:szCs w:val="18"/>
              </w:rPr>
              <w:t xml:space="preserve"> alla media degli altri atenei in Italia 35,2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Regolarità degli studi e della produttività degli iscritti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iC01: Punto di debolezza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Riguardo all’indicatore iC01 (percentuale di studenti iscritti entro la durata normale del CdS che abbiano acquisito almeno </w:t>
            </w:r>
            <w:proofErr w:type="gramStart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40</w:t>
            </w:r>
            <w:proofErr w:type="gramEnd"/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CFU nell’anno solare),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nel 2018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la performance del CdS è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 pari al 16,6%,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>praticamente la metà di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quella degli Atenei dell’area Centro.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>Dopo anni di miglioramento, nel 2018 si è verificato un forte calo, in parte legato all’avvicendamento della forza docente nelle materie di base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iC15 / iC15bis: Punto di debolezza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iC15 (percentuale di studenti che proseguono al 2° anno nello stesso CdS avendo acquisito almeno 20 CFU al 1° anno) e iC15BIS (percentuale di studenti che proseguono nel 2° anno nello stesso CdS avendo acquisito almeno 1/3 dei CFU al 1° anno) mostrano per il CdS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>un’inversione di tendenza rispetto agli anni precedenti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Infatti, </w:t>
            </w:r>
            <w:r w:rsidR="003F3002">
              <w:rPr>
                <w:rFonts w:cs="Lucida Sans Unicode"/>
                <w:color w:val="000000" w:themeColor="text1"/>
                <w:sz w:val="18"/>
                <w:szCs w:val="18"/>
              </w:rPr>
              <w:t xml:space="preserve">dopo alcuni anni di riavvicinamento alle medie regionali e nazionali, nel 2018 si registra un netto calo (dal 63% del 2017 al 42% del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2018)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iC16 / iC16bis:</w:t>
            </w:r>
            <w:r w:rsidRPr="009C5B8A">
              <w:rPr>
                <w:rFonts w:cs="Lucida Sans Unicode"/>
                <w:color w:val="FF0000"/>
                <w:sz w:val="18"/>
                <w:szCs w:val="18"/>
              </w:rPr>
              <w:t xml:space="preserve"> </w:t>
            </w: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:rsidR="00154673" w:rsidRPr="009C5B8A" w:rsidRDefault="006646BE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Analoga situazione per quello che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riguarda gli indicatori iC16 (percentuale di studenti che proseguono nel 2° anno nello stesso CdS avendo acquisito almeno 40 CFU al 1° anno) e iC16BIS (percentuale di studenti che proseguono nel 2° anno nello stesso CdS avendo acquisito almeno 2/3 dei CFU al 1° anno)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I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valori del 201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(</w:t>
            </w:r>
            <w:r w:rsidR="003571ED">
              <w:rPr>
                <w:rFonts w:cs="Lucida Sans Unicode"/>
                <w:color w:val="000000" w:themeColor="text1"/>
                <w:sz w:val="18"/>
                <w:szCs w:val="18"/>
              </w:rPr>
              <w:t>entrambi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15%)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sono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decisamente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più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bassi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di quelli di confronto (Centro e Italia)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, dopo che l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’andamento dei due anni precedenti aveva già evidenziato una costante e consistente diminuzione dei valori.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iC13: Punto di debolezza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iC13 (percentuale di CFU conseguiti al 1° anno su CFU da conseguire, valore 201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35,8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%) ha mostrato valori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inferiori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a quelli riscontrati nell’area Italia</w:t>
            </w:r>
            <w:r w:rsidR="007550F7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ma simili a quelli del Centro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, dopo che l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’andamento del CdS nei tre anni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era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stato in continuo aumento.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iC10: Punto di debolezza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iC10 (percentuale di CFU conseguiti all'estero dagli studenti regolari sul totale dei CFU conseguiti dagli studenti entro la durata normale del corso, valore 201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7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>2,7%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 rappresenta un punto di debolezza del CdS.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Indicatori sui laureati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iC02: </w:t>
            </w:r>
            <w:r w:rsidR="009E60CF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  <w:r w:rsidR="006646BE">
              <w:rPr>
                <w:rFonts w:cs="Lucida Sans Unicode"/>
                <w:color w:val="FF0000"/>
                <w:sz w:val="18"/>
                <w:szCs w:val="18"/>
                <w:u w:val="single"/>
              </w:rPr>
              <w:t>, t</w:t>
            </w: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rend positivo</w:t>
            </w:r>
          </w:p>
          <w:p w:rsidR="00154673" w:rsidRPr="009C5B8A" w:rsidRDefault="001267C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>Anche l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’indicatore iC02 (percentuale di laureati entro la durata normale del corso)</w:t>
            </w:r>
            <w:r w:rsidR="006646BE">
              <w:rPr>
                <w:rFonts w:cs="Lucida Sans Unicode"/>
                <w:color w:val="000000" w:themeColor="text1"/>
                <w:sz w:val="18"/>
                <w:szCs w:val="18"/>
              </w:rPr>
              <w:t xml:space="preserve"> mostra nel 2018 un valore, 35,3%, che prosegue il trend positivo, che diminuisce ulteriormente la distanza con gli altri atenei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iC11: Punto di debolezza</w:t>
            </w:r>
          </w:p>
          <w:p w:rsidR="00154673" w:rsidRPr="009C5B8A" w:rsidRDefault="006646BE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t>Nel 2018 due laureati su 18 aveva</w:t>
            </w:r>
            <w:r w:rsidR="003571ED">
              <w:rPr>
                <w:rFonts w:cs="Lucida Sans Unicode"/>
                <w:color w:val="000000" w:themeColor="text1"/>
                <w:sz w:val="18"/>
                <w:szCs w:val="18"/>
              </w:rPr>
              <w:t>no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conseguito almeno 12 </w:t>
            </w:r>
            <w:proofErr w:type="spellStart"/>
            <w:r>
              <w:rPr>
                <w:rFonts w:cs="Lucida Sans Unicode"/>
                <w:color w:val="000000" w:themeColor="text1"/>
                <w:sz w:val="18"/>
                <w:szCs w:val="18"/>
              </w:rPr>
              <w:t>cfu</w:t>
            </w:r>
            <w:proofErr w:type="spellEnd"/>
            <w:r>
              <w:rPr>
                <w:rFonts w:cs="Lucida Sans Unicode"/>
                <w:color w:val="000000" w:themeColor="text1"/>
                <w:sz w:val="18"/>
                <w:szCs w:val="18"/>
              </w:rPr>
              <w:t xml:space="preserve"> all’estero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, consentendo un incremento dell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’indicatore di percorso iC11 (percentuale di laureati entro la durata normale che hanno acquisito almeno 12 CFU all’estero)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 xml:space="preserve">Questo risultato è il frutto degli sforzi del 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CdS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per avviare un processo di internazionalizzazione, ma che è ancora lontano da un risultato soddisfacente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:rsidR="00154673" w:rsidRPr="001267C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1267C7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iC22: </w:t>
            </w:r>
            <w:r w:rsidR="001267C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Gli indicatori evidenziano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 xml:space="preserve">un vistoso calo del numero 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di immatricolati che si laureano entro la durata normale del corso (iC22),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pari a 0 nel 2018.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FF0000"/>
                <w:sz w:val="18"/>
                <w:szCs w:val="18"/>
                <w:u w:val="single"/>
              </w:rPr>
              <w:t>iC17: Punto di debolezza</w:t>
            </w:r>
          </w:p>
          <w:p w:rsidR="005F5E07" w:rsidRDefault="001267C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>
              <w:rPr>
                <w:rFonts w:cs="Lucida Sans Unicode"/>
                <w:color w:val="000000" w:themeColor="text1"/>
                <w:sz w:val="18"/>
                <w:szCs w:val="18"/>
              </w:rPr>
              <w:lastRenderedPageBreak/>
              <w:t>L’incremento del valore dell</w:t>
            </w:r>
            <w:r w:rsidR="00154673"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’indicatore iC17 (percentuale di immatricolati che si laureano entro un anno oltre la durata normale del corso nello stesso CdS) </w:t>
            </w:r>
            <w:r>
              <w:rPr>
                <w:rFonts w:cs="Lucida Sans Unicode"/>
                <w:color w:val="000000" w:themeColor="text1"/>
                <w:sz w:val="18"/>
                <w:szCs w:val="18"/>
              </w:rPr>
              <w:t>riflette il calo dell’indicatore iC22</w:t>
            </w:r>
            <w:r w:rsidR="005F5E07">
              <w:rPr>
                <w:rFonts w:cs="Lucida Sans Unicode"/>
                <w:color w:val="000000" w:themeColor="text1"/>
                <w:sz w:val="18"/>
                <w:szCs w:val="18"/>
              </w:rPr>
              <w:t>.</w:t>
            </w:r>
          </w:p>
          <w:p w:rsidR="001267C7" w:rsidRDefault="001267C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 xml:space="preserve">Soddisfazione e </w:t>
            </w:r>
            <w:proofErr w:type="spellStart"/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occupabilità</w:t>
            </w:r>
            <w:proofErr w:type="spellEnd"/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 xml:space="preserve"> dei laureati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iC06 / iC06BIS: Punto di forza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Gli indicatori iC06 (percentuale di laureati occupati a un anno dal titolo che dichiarano di svolgere un'attività lavorativa o di formazione retribuita, valore nel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48,6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%), iC06BIS (percentuale di laureati occupati a un anno dal titolo che dichiarano di svolgere un'attività lavorativa e regolamentata da un contratto, o di svolgere attività di formazione retribuita, valore nel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57,9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 e iC06TER (percentuale di laureati occupati a un anno dal titolo non impegnati in formazione non retribuita che dichiarano di svolgere un'attività lavorativa e regolamentata da un contratto, valore nel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77,3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%) hanno mostrato valori simili e spesso superiori a quelli del Centro e nazionali, a dimostrazione che il CdS offre un alto grado di occupazione per i suoi laureati. </w:t>
            </w:r>
          </w:p>
          <w:p w:rsidR="00154673" w:rsidRPr="007550F7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000000" w:themeColor="text1"/>
                <w:sz w:val="18"/>
                <w:szCs w:val="18"/>
                <w:u w:val="single"/>
              </w:rPr>
              <w:t>iC26, iC26BIS, iC07, iC07BIS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Per questi indicatori non ci sono dati disponibili.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iC18 / iC25: Punto di forza</w:t>
            </w:r>
          </w:p>
          <w:p w:rsidR="00154673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Per ciò che concerne la soddisfazione dei laureandi (indicatore iC25, percentuale di laureandi complessivamente soddisfatti del CdS, valore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93,6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 e iC18, percentuale di laureati che si iscriverebbero di nuovo allo stesso CdS, valore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89,4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%), i dati evidenziati dalla scheda di monitoraggio del CdS mostrano sempre valori superiori alle medie delle altre due zone di riferimento a conferma della qualità del percorso di laurea.</w:t>
            </w:r>
          </w:p>
          <w:p w:rsidR="005F5E07" w:rsidRPr="009C5B8A" w:rsidRDefault="005F5E07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</w:p>
          <w:p w:rsidR="00154673" w:rsidRPr="009C5B8A" w:rsidRDefault="00154673" w:rsidP="00154673">
            <w:pPr>
              <w:jc w:val="both"/>
              <w:rPr>
                <w:rFonts w:cs="Lucida Sans Unicode"/>
                <w:i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i/>
                <w:color w:val="000000" w:themeColor="text1"/>
                <w:sz w:val="18"/>
                <w:szCs w:val="18"/>
              </w:rPr>
              <w:t>Sostenibilità, consistenza e qualificazione della docenza</w:t>
            </w:r>
          </w:p>
          <w:p w:rsidR="00154673" w:rsidRPr="007550F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iC05:</w:t>
            </w:r>
            <w:r w:rsidRPr="007550F7">
              <w:rPr>
                <w:rFonts w:cs="Lucida Sans Unicode"/>
                <w:color w:val="FF0000"/>
                <w:sz w:val="18"/>
                <w:szCs w:val="18"/>
              </w:rPr>
              <w:t xml:space="preserve"> </w:t>
            </w:r>
            <w:r w:rsidR="009E60CF"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debolezza, trend positivo</w:t>
            </w:r>
          </w:p>
          <w:p w:rsidR="009E60CF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Il rapporto studenti regolari/docenti (indicatore iC05, valore 201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</w:t>
            </w:r>
            <w:r w:rsidR="001267C7">
              <w:rPr>
                <w:rFonts w:cs="Lucida Sans Unicode"/>
                <w:color w:val="000000" w:themeColor="text1"/>
                <w:sz w:val="18"/>
                <w:szCs w:val="18"/>
              </w:rPr>
              <w:t>12,4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), indicativo della numerosità della popolazione studentesca “in corso” rispetto al corpo docenti (professori a tempo indeterminato, ricercatori a tempo indeterminato, ricercatori di tipo a e tipo b), è </w:t>
            </w:r>
            <w:r w:rsidR="006020C8">
              <w:rPr>
                <w:rFonts w:cs="Lucida Sans Unicode"/>
                <w:color w:val="000000" w:themeColor="text1"/>
                <w:sz w:val="18"/>
                <w:szCs w:val="18"/>
              </w:rPr>
              <w:t>in lieve calo rispetto agli anni passati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. 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</w:pPr>
            <w:r w:rsidRPr="009C5B8A">
              <w:rPr>
                <w:rFonts w:cs="Lucida Sans Unicode"/>
                <w:color w:val="538135" w:themeColor="accent6" w:themeShade="BF"/>
                <w:sz w:val="18"/>
                <w:szCs w:val="18"/>
                <w:u w:val="single"/>
              </w:rPr>
              <w:t>iC08: Punto di forza</w:t>
            </w:r>
          </w:p>
          <w:p w:rsidR="00154673" w:rsidRPr="009C5B8A" w:rsidRDefault="00154673" w:rsidP="00154673">
            <w:pPr>
              <w:jc w:val="both"/>
              <w:rPr>
                <w:rFonts w:cs="Lucida Sans Unicode"/>
                <w:color w:val="000000" w:themeColor="text1"/>
                <w:sz w:val="18"/>
                <w:szCs w:val="18"/>
              </w:rPr>
            </w:pP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>L’indicatore iC08, che valuta la coerenza della composizione dei docenti di riferimento rispetto ai settori scientifico-disciplinari di base e caratterizzanti (valore 201</w:t>
            </w:r>
            <w:r w:rsidR="006020C8">
              <w:rPr>
                <w:rFonts w:cs="Lucida Sans Unicode"/>
                <w:color w:val="000000" w:themeColor="text1"/>
                <w:sz w:val="18"/>
                <w:szCs w:val="18"/>
              </w:rPr>
              <w:t>8</w:t>
            </w:r>
            <w:r w:rsidRPr="009C5B8A">
              <w:rPr>
                <w:rFonts w:cs="Lucida Sans Unicode"/>
                <w:color w:val="000000" w:themeColor="text1"/>
                <w:sz w:val="18"/>
                <w:szCs w:val="18"/>
              </w:rPr>
              <w:t xml:space="preserve">: 100%), evidenzia che il CdS ha conseguito dei valori medi superiori a quelli delle altre zone geografiche. </w:t>
            </w:r>
          </w:p>
          <w:p w:rsidR="00154673" w:rsidRPr="007550F7" w:rsidRDefault="00154673" w:rsidP="00154673">
            <w:pPr>
              <w:jc w:val="both"/>
              <w:rPr>
                <w:rFonts w:cs="Lucida Sans Unicode"/>
                <w:color w:val="FF0000"/>
                <w:sz w:val="18"/>
                <w:szCs w:val="18"/>
                <w:u w:val="single"/>
              </w:rPr>
            </w:pPr>
            <w:r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 xml:space="preserve">iC27: </w:t>
            </w:r>
            <w:r w:rsidR="009E60CF" w:rsidRPr="007550F7">
              <w:rPr>
                <w:rFonts w:cs="Lucida Sans Unicode"/>
                <w:color w:val="FF0000"/>
                <w:sz w:val="18"/>
                <w:szCs w:val="18"/>
                <w:u w:val="single"/>
              </w:rPr>
              <w:t>Punto di debolezza, trend positivo</w:t>
            </w:r>
          </w:p>
          <w:p w:rsidR="00154673" w:rsidRPr="006020C8" w:rsidRDefault="00154673" w:rsidP="00154673">
            <w:pPr>
              <w:pStyle w:val="Default"/>
              <w:mirrorIndents/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</w:pP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L’indicatore iC27 (rapporto studenti iscritti al 1° anno/docenti degli insegnamenti del 1° anno pesato per le ore di docenza) evidenzia in tutti e tre gli anni considerati valori più alti rispetto a quelli di riferimento (valore 201</w:t>
            </w:r>
            <w:r w:rsid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8</w:t>
            </w: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: 3</w:t>
            </w:r>
            <w:r w:rsid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6</w:t>
            </w: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,</w:t>
            </w:r>
            <w:r w:rsid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2</w:t>
            </w:r>
            <w:r w:rsidRPr="006020C8">
              <w:rPr>
                <w:rFonts w:ascii="Times New Roman" w:hAnsi="Times New Roman" w:cs="Lucida Sans Unicode"/>
                <w:color w:val="000000" w:themeColor="text1"/>
                <w:sz w:val="18"/>
                <w:szCs w:val="18"/>
              </w:rPr>
              <w:t>). Se ne deduce che gli studenti del CdS usufruiscono di risorse di docenza minori rispetto alla media degli altri Atenei. La situazione è da imputare alla forte crescita della popolazione studentesca nel periodo considerato, alla quale non ha fatto riscontro un corrispondente aumento del personale docente.</w:t>
            </w:r>
          </w:p>
          <w:p w:rsidR="00154673" w:rsidRPr="00A96B02" w:rsidRDefault="00154673" w:rsidP="00154673">
            <w:pPr>
              <w:pStyle w:val="Default"/>
              <w:mirrorIndents/>
              <w:rPr>
                <w:rFonts w:asciiTheme="minorHAnsi" w:hAnsiTheme="minorHAnsi"/>
                <w:color w:val="auto"/>
                <w:sz w:val="18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5E48B6" w:rsidRDefault="00CF6ADA" w:rsidP="00CE0FAD">
            <w:pPr>
              <w:pStyle w:val="Default"/>
              <w:mirrorIndents/>
              <w:rPr>
                <w:color w:val="auto"/>
                <w:sz w:val="16"/>
                <w:szCs w:val="22"/>
                <w:lang w:val="sv-SE"/>
              </w:rPr>
            </w:pPr>
          </w:p>
          <w:p w:rsidR="00CF6ADA" w:rsidRPr="00A87E8E" w:rsidRDefault="00CF6ADA" w:rsidP="00CE0FAD">
            <w:pPr>
              <w:pStyle w:val="Default"/>
              <w:mirrorIndents/>
              <w:rPr>
                <w:i/>
                <w:sz w:val="16"/>
                <w:szCs w:val="18"/>
                <w:lang w:val="sv-SE"/>
              </w:rPr>
            </w:pPr>
          </w:p>
        </w:tc>
      </w:tr>
    </w:tbl>
    <w:p w:rsidR="00CF6ADA" w:rsidRDefault="00CF6ADA" w:rsidP="00CE0FAD">
      <w:pPr>
        <w:mirrorIndents/>
        <w:rPr>
          <w:rFonts w:ascii="Segoe UI" w:hAnsi="Segoe UI" w:cs="Segoe UI"/>
        </w:rPr>
      </w:pPr>
    </w:p>
    <w:p w:rsidR="00CF6ADA" w:rsidRDefault="00CF6ADA" w:rsidP="00CE0FAD">
      <w:pPr>
        <w:mirrorIndents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:rsidTr="00EC7E9F">
        <w:tc>
          <w:tcPr>
            <w:tcW w:w="9392" w:type="dxa"/>
            <w:shd w:val="clear" w:color="auto" w:fill="D5DCE4"/>
            <w:vAlign w:val="center"/>
          </w:tcPr>
          <w:p w:rsidR="00CF6ADA" w:rsidRPr="005E48B6" w:rsidRDefault="00CF6ADA" w:rsidP="00CE0FAD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>
              <w:rPr>
                <w:rFonts w:ascii="Segoe UI" w:hAnsi="Segoe UI" w:cs="Segoe UI"/>
                <w:b/>
                <w:sz w:val="22"/>
                <w:szCs w:val="28"/>
              </w:rPr>
              <w:lastRenderedPageBreak/>
              <w:t>R</w:t>
            </w: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EPILOGO INDICATORI UTILIZZATI</w:t>
            </w:r>
          </w:p>
        </w:tc>
      </w:tr>
    </w:tbl>
    <w:p w:rsidR="00CF6ADA" w:rsidRDefault="00CF6ADA" w:rsidP="00CE0FAD">
      <w:pPr>
        <w:mirrorIndents/>
        <w:rPr>
          <w:rFonts w:ascii="Segoe UI" w:hAnsi="Segoe UI" w:cs="Segoe UI"/>
          <w:i/>
          <w:sz w:val="16"/>
          <w:szCs w:val="18"/>
        </w:rPr>
      </w:pPr>
      <w:r w:rsidRPr="00783743">
        <w:rPr>
          <w:rFonts w:ascii="Segoe UI" w:hAnsi="Segoe UI" w:cs="Segoe UI"/>
          <w:i/>
          <w:sz w:val="16"/>
          <w:szCs w:val="18"/>
        </w:rPr>
        <w:t>(indica</w:t>
      </w:r>
      <w:r w:rsidR="00DD1D50">
        <w:rPr>
          <w:rFonts w:ascii="Segoe UI" w:hAnsi="Segoe UI" w:cs="Segoe UI"/>
          <w:i/>
          <w:sz w:val="16"/>
          <w:szCs w:val="18"/>
        </w:rPr>
        <w:t>re con</w:t>
      </w:r>
      <w:r w:rsidRPr="00783743">
        <w:rPr>
          <w:rFonts w:ascii="Segoe UI" w:hAnsi="Segoe UI" w:cs="Segoe UI"/>
          <w:i/>
          <w:sz w:val="16"/>
          <w:szCs w:val="18"/>
        </w:rPr>
        <w:t xml:space="preserve"> </w:t>
      </w:r>
      <w:r>
        <w:rPr>
          <w:rFonts w:ascii="Segoe UI" w:hAnsi="Segoe UI" w:cs="Segoe UI"/>
          <w:i/>
          <w:sz w:val="16"/>
          <w:szCs w:val="18"/>
        </w:rPr>
        <w:t xml:space="preserve">una crocetta </w:t>
      </w:r>
      <w:r w:rsidR="00DD1D50">
        <w:rPr>
          <w:rFonts w:ascii="Segoe UI" w:hAnsi="Segoe UI" w:cs="Segoe UI"/>
          <w:i/>
          <w:sz w:val="16"/>
          <w:szCs w:val="18"/>
        </w:rPr>
        <w:t>il tenore de</w:t>
      </w:r>
      <w:r>
        <w:rPr>
          <w:rFonts w:ascii="Segoe UI" w:hAnsi="Segoe UI" w:cs="Segoe UI"/>
          <w:i/>
          <w:sz w:val="16"/>
          <w:szCs w:val="18"/>
        </w:rPr>
        <w:t xml:space="preserve">gli indicatori </w:t>
      </w:r>
      <w:r w:rsidR="00DD1D50">
        <w:rPr>
          <w:rFonts w:ascii="Segoe UI" w:hAnsi="Segoe UI" w:cs="Segoe UI"/>
          <w:i/>
          <w:sz w:val="16"/>
          <w:szCs w:val="18"/>
        </w:rPr>
        <w:t>scelti per</w:t>
      </w:r>
      <w:r>
        <w:rPr>
          <w:rFonts w:ascii="Segoe UI" w:hAnsi="Segoe UI" w:cs="Segoe UI"/>
          <w:i/>
          <w:sz w:val="16"/>
          <w:szCs w:val="18"/>
        </w:rPr>
        <w:t xml:space="preserve"> </w:t>
      </w:r>
      <w:r w:rsidR="00DD1D50">
        <w:rPr>
          <w:rFonts w:ascii="Segoe UI" w:hAnsi="Segoe UI" w:cs="Segoe UI"/>
          <w:i/>
          <w:sz w:val="16"/>
          <w:szCs w:val="18"/>
        </w:rPr>
        <w:t>il commento</w:t>
      </w:r>
      <w:r w:rsidR="0041391E">
        <w:rPr>
          <w:rFonts w:ascii="Segoe UI" w:hAnsi="Segoe UI" w:cs="Segoe UI"/>
          <w:i/>
          <w:sz w:val="16"/>
          <w:szCs w:val="18"/>
        </w:rPr>
        <w:t>, ai fini di successive analisi da parte di tutti gli attori convolti nel Sistema AQ</w:t>
      </w:r>
      <w:r>
        <w:rPr>
          <w:rFonts w:ascii="Segoe UI" w:hAnsi="Segoe UI" w:cs="Segoe UI"/>
          <w:i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289"/>
        <w:gridCol w:w="264"/>
        <w:gridCol w:w="264"/>
        <w:gridCol w:w="264"/>
        <w:gridCol w:w="264"/>
      </w:tblGrid>
      <w:tr w:rsidR="009E60CF" w:rsidRPr="009C5B8A" w:rsidTr="00F209F4">
        <w:trPr>
          <w:cantSplit/>
          <w:trHeight w:val="2279"/>
        </w:trPr>
        <w:tc>
          <w:tcPr>
            <w:tcW w:w="222" w:type="pct"/>
            <w:shd w:val="clear" w:color="auto" w:fill="auto"/>
            <w:noWrap/>
            <w:textDirection w:val="btLr"/>
            <w:vAlign w:val="bottom"/>
          </w:tcPr>
          <w:p w:rsidR="009E60CF" w:rsidRPr="009C5B8A" w:rsidRDefault="009E60CF" w:rsidP="00F209F4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Indicatore</w:t>
            </w:r>
          </w:p>
        </w:tc>
        <w:tc>
          <w:tcPr>
            <w:tcW w:w="4234" w:type="pct"/>
            <w:shd w:val="clear" w:color="auto" w:fill="auto"/>
            <w:noWrap/>
            <w:vAlign w:val="center"/>
          </w:tcPr>
          <w:p w:rsidR="009E60CF" w:rsidRPr="009C5B8A" w:rsidRDefault="009E60CF" w:rsidP="00F2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Descrittore</w:t>
            </w:r>
          </w:p>
        </w:tc>
        <w:tc>
          <w:tcPr>
            <w:tcW w:w="136" w:type="pct"/>
            <w:textDirection w:val="btLr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Punto di forza</w:t>
            </w:r>
          </w:p>
        </w:tc>
        <w:tc>
          <w:tcPr>
            <w:tcW w:w="136" w:type="pct"/>
            <w:textDirection w:val="btLr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criticità giustificata</w:t>
            </w:r>
          </w:p>
        </w:tc>
        <w:tc>
          <w:tcPr>
            <w:tcW w:w="136" w:type="pct"/>
            <w:textDirection w:val="btLr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punto</w:t>
            </w:r>
            <w:proofErr w:type="gramEnd"/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 debolezza, trend stabile o negativo</w:t>
            </w:r>
          </w:p>
        </w:tc>
        <w:tc>
          <w:tcPr>
            <w:tcW w:w="136" w:type="pct"/>
            <w:textDirection w:val="btLr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punto di debolezza, trend positivo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iC01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Percentuale di studenti iscritti entro la durata normale del CdS che abbiano acquisito almeno 40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nell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’</w:t>
            </w: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iC02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laureati (L, LM, LMCU) entro la durata normale del corso*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iC03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iscritti al primo anno (L, LMCU) provenienti da altre Regioni*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iC04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iC05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Rapporto studenti regolari/docenti (professori a tempo indeterminato, ricercatori a tempo indeterminato, ricercatori di tipo a e tipo b)</w:t>
            </w:r>
            <w:proofErr w:type="gram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*</w:t>
            </w:r>
            <w:proofErr w:type="gramEnd"/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iC06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Laureati occupati a un anno dal Titolo (L) - Laureati che dichiarano di svolgere un'attività lavorativa o di formazione retribuita (es. dottorato con borsa, specializzazione in medicina, ecc.)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iC07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iC08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dei docenti di ruolo che appartengono a settori scientifico-disciplinari (SSD) di base e caratterizzanti per Corso di Studio (L, LMCU, LM), di cui sono docenti di riferimento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iC09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Valori dell’indicatore di Qualità della ricerca dei docenti per le lauree magistrali (QRDLM) (valore di riferimento: 0,8)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iC10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CFU conseguiti all’estero dagli studenti regolari sul totale dei CFU conseguiti dagli studenti entro la durata normale del corso*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iC11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Percentuale di laureati (L, LM, LMCU) entro la durata normale del corso che hanno acquisito almeno 12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allíestero</w:t>
            </w:r>
            <w:proofErr w:type="spellEnd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iC12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Percentuale di studenti iscritti al primo anno del corso di laurea (L) e laurea magistrale (LM, LMCU) che hanno conseguito il precedente titolo di studio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allíestero</w:t>
            </w:r>
            <w:proofErr w:type="spellEnd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iC13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CFU conseguiti al I anno su CFU da conseguire**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iC14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nel II anno nello stesso Corso di Studio**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iC15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al II anno nello stesso Corso di Studio avendo acquisito almeno 20 CFU al I anno**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iC15BIS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al II anno nello stesso Corso di Studio avendo acquisito almeno 1/3 dei CFU previsti al I anno 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iC16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al II anno nello stesso Corso di Studio avendo acquisito almeno 40 CFU al I anno**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iC16BIS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al II anno nello stesso Corso di Studio avendo acquisito almeno 2/3 dei CFU previsti al I anno 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E97AB4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iC17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immatricolati (L, LM, LMCU) che si laureano entro un anno oltre la durata normale del corso nello stesso Corso di Studio**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iC18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laureati che si iscriverebbero di nuovo allo stesso Corso di Studio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iC19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ore di docenza erogata da docenti assunti a tempo indeterminato sul totale delle ore di docenza erogata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iC20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iC21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studenti che proseguono la carriera nel sistema universitario al II anno**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E97AB4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iC22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immatricolati (L, LM, LMCU) che si laureano, nel CdS, entro la durata normale del corso**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iC23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Percentuale di immatricolati (L, LM, LMCU) che proseguono la carriera al secondo anno in un differente CdS </w:t>
            </w:r>
            <w:proofErr w:type="spellStart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dellAteneo</w:t>
            </w:r>
            <w:proofErr w:type="spellEnd"/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iC24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abbandoni del CdS dopo N+1 anni**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iC25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laureandi complessivamente soddisfatti del CdS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iC26</w:t>
            </w:r>
          </w:p>
        </w:tc>
        <w:tc>
          <w:tcPr>
            <w:tcW w:w="4234" w:type="pct"/>
            <w:shd w:val="clear" w:color="auto" w:fill="auto"/>
            <w:noWrap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Percentuale di Laureati occupati a un anno dal Titolo (LM, LMCU) - Laureati che dichiarano di svolgere un’attività lavorativa o di formazione retribuita (es. dottorato con borsa, specializzazione in medicina, ecc.)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9E60CF" w:rsidRPr="009C5B8A" w:rsidTr="00F209F4">
        <w:trPr>
          <w:trHeight w:val="3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iC27</w:t>
            </w:r>
          </w:p>
        </w:tc>
        <w:tc>
          <w:tcPr>
            <w:tcW w:w="4234" w:type="pct"/>
            <w:shd w:val="clear" w:color="auto" w:fill="auto"/>
            <w:noWrap/>
            <w:vAlign w:val="bottom"/>
            <w:hideMark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5B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Rapporto studenti iscritti/docenti complessivo (pesato per le ore di docenza)</w:t>
            </w: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" w:type="pct"/>
            <w:vAlign w:val="bottom"/>
          </w:tcPr>
          <w:p w:rsidR="009E60CF" w:rsidRPr="009C5B8A" w:rsidRDefault="009E60CF" w:rsidP="00F2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</w:tbl>
    <w:p w:rsidR="00A26C62" w:rsidRDefault="00A26C62" w:rsidP="00CE0FAD">
      <w:pPr>
        <w:mirrorIndents/>
      </w:pPr>
    </w:p>
    <w:sectPr w:rsidR="00A26C62" w:rsidSect="005A75EF">
      <w:footerReference w:type="default" r:id="rId9"/>
      <w:headerReference w:type="first" r:id="rId10"/>
      <w:pgSz w:w="11906" w:h="16838"/>
      <w:pgMar w:top="1418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87" w:rsidRDefault="007B6987" w:rsidP="00EE3D24">
      <w:pPr>
        <w:spacing w:after="0" w:line="240" w:lineRule="auto"/>
      </w:pPr>
      <w:r>
        <w:separator/>
      </w:r>
    </w:p>
  </w:endnote>
  <w:endnote w:type="continuationSeparator" w:id="0">
    <w:p w:rsidR="007B6987" w:rsidRDefault="007B6987" w:rsidP="00EE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A" w:rsidRDefault="00E26CEA" w:rsidP="00E26CEA">
    <w:pPr>
      <w:pStyle w:val="Pidipagina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705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7054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87" w:rsidRDefault="007B6987" w:rsidP="00EE3D24">
      <w:pPr>
        <w:spacing w:after="0" w:line="240" w:lineRule="auto"/>
      </w:pPr>
      <w:r>
        <w:separator/>
      </w:r>
    </w:p>
  </w:footnote>
  <w:footnote w:type="continuationSeparator" w:id="0">
    <w:p w:rsidR="007B6987" w:rsidRDefault="007B6987" w:rsidP="00EE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EF" w:rsidRPr="006A360D" w:rsidRDefault="005A75EF" w:rsidP="005A75EF">
    <w:pPr>
      <w:pStyle w:val="Intestazione"/>
      <w:rPr>
        <w:rFonts w:ascii="Segoe UI" w:hAnsi="Segoe UI" w:cs="Segoe UI"/>
        <w:sz w:val="20"/>
      </w:rPr>
    </w:pPr>
    <w:r w:rsidRPr="006A360D">
      <w:rPr>
        <w:rFonts w:ascii="Segoe UI" w:hAnsi="Segoe UI" w:cs="Segoe UI"/>
        <w:sz w:val="20"/>
      </w:rPr>
      <w:tab/>
    </w:r>
    <w:r w:rsidRPr="006A360D">
      <w:rPr>
        <w:rFonts w:ascii="Segoe UI" w:hAnsi="Segoe UI" w:cs="Segoe UI"/>
        <w:sz w:val="20"/>
      </w:rPr>
      <w:tab/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A"/>
    <w:rsid w:val="000153EE"/>
    <w:rsid w:val="00023DC5"/>
    <w:rsid w:val="00035EE7"/>
    <w:rsid w:val="0004131D"/>
    <w:rsid w:val="00054150"/>
    <w:rsid w:val="00056C97"/>
    <w:rsid w:val="000621CA"/>
    <w:rsid w:val="00067682"/>
    <w:rsid w:val="000678F4"/>
    <w:rsid w:val="00071881"/>
    <w:rsid w:val="0009175E"/>
    <w:rsid w:val="00097CAB"/>
    <w:rsid w:val="000C0669"/>
    <w:rsid w:val="000C1DFA"/>
    <w:rsid w:val="000C6057"/>
    <w:rsid w:val="000C6161"/>
    <w:rsid w:val="000C77FE"/>
    <w:rsid w:val="000D5368"/>
    <w:rsid w:val="000E5A9C"/>
    <w:rsid w:val="000F2451"/>
    <w:rsid w:val="00106037"/>
    <w:rsid w:val="00122F6D"/>
    <w:rsid w:val="001241C6"/>
    <w:rsid w:val="0012519E"/>
    <w:rsid w:val="0012678D"/>
    <w:rsid w:val="001267C7"/>
    <w:rsid w:val="00135812"/>
    <w:rsid w:val="0014772C"/>
    <w:rsid w:val="00154673"/>
    <w:rsid w:val="00154BD6"/>
    <w:rsid w:val="001620B0"/>
    <w:rsid w:val="001731F4"/>
    <w:rsid w:val="001734FF"/>
    <w:rsid w:val="00192844"/>
    <w:rsid w:val="001945D2"/>
    <w:rsid w:val="001A102C"/>
    <w:rsid w:val="001A1DC3"/>
    <w:rsid w:val="001A1DD6"/>
    <w:rsid w:val="001C1D68"/>
    <w:rsid w:val="001C3460"/>
    <w:rsid w:val="001C39C8"/>
    <w:rsid w:val="001C4978"/>
    <w:rsid w:val="001D40AB"/>
    <w:rsid w:val="001E795B"/>
    <w:rsid w:val="001F4129"/>
    <w:rsid w:val="00204F74"/>
    <w:rsid w:val="00207A4A"/>
    <w:rsid w:val="002200DF"/>
    <w:rsid w:val="002336EB"/>
    <w:rsid w:val="00242284"/>
    <w:rsid w:val="00246663"/>
    <w:rsid w:val="00265285"/>
    <w:rsid w:val="002756CB"/>
    <w:rsid w:val="00275E48"/>
    <w:rsid w:val="0027720C"/>
    <w:rsid w:val="00282D04"/>
    <w:rsid w:val="00295559"/>
    <w:rsid w:val="002A2790"/>
    <w:rsid w:val="002A3ABE"/>
    <w:rsid w:val="002A6CB9"/>
    <w:rsid w:val="002B1D6B"/>
    <w:rsid w:val="002B2095"/>
    <w:rsid w:val="002B7566"/>
    <w:rsid w:val="002C0BB2"/>
    <w:rsid w:val="002D7493"/>
    <w:rsid w:val="002E660D"/>
    <w:rsid w:val="002E7CD2"/>
    <w:rsid w:val="002F6578"/>
    <w:rsid w:val="00301B88"/>
    <w:rsid w:val="003047BD"/>
    <w:rsid w:val="003258D6"/>
    <w:rsid w:val="0033332F"/>
    <w:rsid w:val="0033655B"/>
    <w:rsid w:val="00341698"/>
    <w:rsid w:val="003461B8"/>
    <w:rsid w:val="003571ED"/>
    <w:rsid w:val="00373F76"/>
    <w:rsid w:val="00383B83"/>
    <w:rsid w:val="003A1D9F"/>
    <w:rsid w:val="003A3766"/>
    <w:rsid w:val="003A55B8"/>
    <w:rsid w:val="003A561D"/>
    <w:rsid w:val="003B0D22"/>
    <w:rsid w:val="003B58C6"/>
    <w:rsid w:val="003B5AA4"/>
    <w:rsid w:val="003C00E7"/>
    <w:rsid w:val="003C3C5D"/>
    <w:rsid w:val="003C3F3D"/>
    <w:rsid w:val="003C7ED6"/>
    <w:rsid w:val="003F28CA"/>
    <w:rsid w:val="003F3002"/>
    <w:rsid w:val="004040DB"/>
    <w:rsid w:val="0041391E"/>
    <w:rsid w:val="00421E19"/>
    <w:rsid w:val="00425F7E"/>
    <w:rsid w:val="004331E0"/>
    <w:rsid w:val="004347DE"/>
    <w:rsid w:val="00437695"/>
    <w:rsid w:val="00457EDF"/>
    <w:rsid w:val="00461061"/>
    <w:rsid w:val="00464134"/>
    <w:rsid w:val="0047278E"/>
    <w:rsid w:val="00476C28"/>
    <w:rsid w:val="00477ECE"/>
    <w:rsid w:val="00480D5E"/>
    <w:rsid w:val="004816D4"/>
    <w:rsid w:val="00482FC4"/>
    <w:rsid w:val="00485CA3"/>
    <w:rsid w:val="004A5193"/>
    <w:rsid w:val="004A520F"/>
    <w:rsid w:val="004C5475"/>
    <w:rsid w:val="004D44C9"/>
    <w:rsid w:val="004E236C"/>
    <w:rsid w:val="004E3C5E"/>
    <w:rsid w:val="004E7C44"/>
    <w:rsid w:val="0051352D"/>
    <w:rsid w:val="0051366C"/>
    <w:rsid w:val="00515240"/>
    <w:rsid w:val="00534E69"/>
    <w:rsid w:val="00537BB2"/>
    <w:rsid w:val="00541DD5"/>
    <w:rsid w:val="00561229"/>
    <w:rsid w:val="00563193"/>
    <w:rsid w:val="00563A17"/>
    <w:rsid w:val="00575975"/>
    <w:rsid w:val="005847BB"/>
    <w:rsid w:val="00590698"/>
    <w:rsid w:val="00590EA3"/>
    <w:rsid w:val="005A10FF"/>
    <w:rsid w:val="005A427D"/>
    <w:rsid w:val="005A75EF"/>
    <w:rsid w:val="005B388F"/>
    <w:rsid w:val="005B6F93"/>
    <w:rsid w:val="005C7B4D"/>
    <w:rsid w:val="005D3443"/>
    <w:rsid w:val="005D5F63"/>
    <w:rsid w:val="005D6880"/>
    <w:rsid w:val="005E40C8"/>
    <w:rsid w:val="005F5E07"/>
    <w:rsid w:val="00600D94"/>
    <w:rsid w:val="006012A0"/>
    <w:rsid w:val="006020C8"/>
    <w:rsid w:val="006078E6"/>
    <w:rsid w:val="006136EB"/>
    <w:rsid w:val="006213E9"/>
    <w:rsid w:val="0062231E"/>
    <w:rsid w:val="0062414E"/>
    <w:rsid w:val="00625FED"/>
    <w:rsid w:val="00627887"/>
    <w:rsid w:val="00645953"/>
    <w:rsid w:val="00650DCC"/>
    <w:rsid w:val="00653091"/>
    <w:rsid w:val="006531CE"/>
    <w:rsid w:val="006646BE"/>
    <w:rsid w:val="00674160"/>
    <w:rsid w:val="0067796D"/>
    <w:rsid w:val="00677AA6"/>
    <w:rsid w:val="00683DF2"/>
    <w:rsid w:val="006901DF"/>
    <w:rsid w:val="00692E58"/>
    <w:rsid w:val="006A0E1F"/>
    <w:rsid w:val="006A360D"/>
    <w:rsid w:val="006A7047"/>
    <w:rsid w:val="006B36A9"/>
    <w:rsid w:val="006B467D"/>
    <w:rsid w:val="006D0BA3"/>
    <w:rsid w:val="006D791D"/>
    <w:rsid w:val="006E314E"/>
    <w:rsid w:val="006E60FB"/>
    <w:rsid w:val="006E70BC"/>
    <w:rsid w:val="006F17D1"/>
    <w:rsid w:val="006F4966"/>
    <w:rsid w:val="00704261"/>
    <w:rsid w:val="00704613"/>
    <w:rsid w:val="00705437"/>
    <w:rsid w:val="0073056D"/>
    <w:rsid w:val="007325BD"/>
    <w:rsid w:val="007374E5"/>
    <w:rsid w:val="00740D11"/>
    <w:rsid w:val="007418FC"/>
    <w:rsid w:val="00741C00"/>
    <w:rsid w:val="007502C2"/>
    <w:rsid w:val="007550F7"/>
    <w:rsid w:val="00757267"/>
    <w:rsid w:val="007639BD"/>
    <w:rsid w:val="007651EA"/>
    <w:rsid w:val="00765307"/>
    <w:rsid w:val="00767149"/>
    <w:rsid w:val="00777C5B"/>
    <w:rsid w:val="007919E8"/>
    <w:rsid w:val="0079585D"/>
    <w:rsid w:val="0079600E"/>
    <w:rsid w:val="007B6987"/>
    <w:rsid w:val="007B7FB8"/>
    <w:rsid w:val="007C250B"/>
    <w:rsid w:val="007E2F6E"/>
    <w:rsid w:val="007F70CA"/>
    <w:rsid w:val="008164AD"/>
    <w:rsid w:val="00820C40"/>
    <w:rsid w:val="00825331"/>
    <w:rsid w:val="00831D5F"/>
    <w:rsid w:val="00832F52"/>
    <w:rsid w:val="00833D8F"/>
    <w:rsid w:val="008348E2"/>
    <w:rsid w:val="00843E3F"/>
    <w:rsid w:val="00846D57"/>
    <w:rsid w:val="0084796C"/>
    <w:rsid w:val="0086723E"/>
    <w:rsid w:val="008735E2"/>
    <w:rsid w:val="008759C9"/>
    <w:rsid w:val="00882778"/>
    <w:rsid w:val="00883549"/>
    <w:rsid w:val="008A5C34"/>
    <w:rsid w:val="008B1E98"/>
    <w:rsid w:val="008B5679"/>
    <w:rsid w:val="008C02E6"/>
    <w:rsid w:val="008C33E8"/>
    <w:rsid w:val="008C725C"/>
    <w:rsid w:val="008D3ED0"/>
    <w:rsid w:val="008D5536"/>
    <w:rsid w:val="008D5866"/>
    <w:rsid w:val="008E1B2B"/>
    <w:rsid w:val="008F59EB"/>
    <w:rsid w:val="00901AEB"/>
    <w:rsid w:val="00902A5E"/>
    <w:rsid w:val="00904ADE"/>
    <w:rsid w:val="00911B11"/>
    <w:rsid w:val="00924EE1"/>
    <w:rsid w:val="0095017B"/>
    <w:rsid w:val="0095124A"/>
    <w:rsid w:val="00955525"/>
    <w:rsid w:val="0096277E"/>
    <w:rsid w:val="009873EB"/>
    <w:rsid w:val="009A641E"/>
    <w:rsid w:val="009A6954"/>
    <w:rsid w:val="009B12F2"/>
    <w:rsid w:val="009C372D"/>
    <w:rsid w:val="009C5183"/>
    <w:rsid w:val="009C7348"/>
    <w:rsid w:val="009D5BD8"/>
    <w:rsid w:val="009D635A"/>
    <w:rsid w:val="009E60CF"/>
    <w:rsid w:val="00A04AF8"/>
    <w:rsid w:val="00A07517"/>
    <w:rsid w:val="00A07FBB"/>
    <w:rsid w:val="00A1383D"/>
    <w:rsid w:val="00A26C62"/>
    <w:rsid w:val="00A3186F"/>
    <w:rsid w:val="00A3557C"/>
    <w:rsid w:val="00A65179"/>
    <w:rsid w:val="00A7398E"/>
    <w:rsid w:val="00A84AB3"/>
    <w:rsid w:val="00A87E8E"/>
    <w:rsid w:val="00A91BC4"/>
    <w:rsid w:val="00AB09C9"/>
    <w:rsid w:val="00AB17D7"/>
    <w:rsid w:val="00AB29EF"/>
    <w:rsid w:val="00AB4109"/>
    <w:rsid w:val="00AB7588"/>
    <w:rsid w:val="00AC3A76"/>
    <w:rsid w:val="00AD5726"/>
    <w:rsid w:val="00AE7076"/>
    <w:rsid w:val="00AE7382"/>
    <w:rsid w:val="00AF1285"/>
    <w:rsid w:val="00AF211A"/>
    <w:rsid w:val="00B015F8"/>
    <w:rsid w:val="00B03B0C"/>
    <w:rsid w:val="00B045F0"/>
    <w:rsid w:val="00B07D23"/>
    <w:rsid w:val="00B2155B"/>
    <w:rsid w:val="00B576B2"/>
    <w:rsid w:val="00B653CB"/>
    <w:rsid w:val="00B70541"/>
    <w:rsid w:val="00B714B1"/>
    <w:rsid w:val="00B756B9"/>
    <w:rsid w:val="00B80C24"/>
    <w:rsid w:val="00B90C0D"/>
    <w:rsid w:val="00B94D09"/>
    <w:rsid w:val="00BC4724"/>
    <w:rsid w:val="00BC672D"/>
    <w:rsid w:val="00BE2AB4"/>
    <w:rsid w:val="00BE2D9A"/>
    <w:rsid w:val="00BE50F3"/>
    <w:rsid w:val="00BF2D2B"/>
    <w:rsid w:val="00C02D14"/>
    <w:rsid w:val="00C249E3"/>
    <w:rsid w:val="00C365A4"/>
    <w:rsid w:val="00C36AC3"/>
    <w:rsid w:val="00C405EB"/>
    <w:rsid w:val="00C409F3"/>
    <w:rsid w:val="00C42CF5"/>
    <w:rsid w:val="00C646CC"/>
    <w:rsid w:val="00C72EAD"/>
    <w:rsid w:val="00C76401"/>
    <w:rsid w:val="00C84D99"/>
    <w:rsid w:val="00CA16B9"/>
    <w:rsid w:val="00CB7881"/>
    <w:rsid w:val="00CC175E"/>
    <w:rsid w:val="00CD0AD0"/>
    <w:rsid w:val="00CE0FAD"/>
    <w:rsid w:val="00CF6ADA"/>
    <w:rsid w:val="00D01292"/>
    <w:rsid w:val="00D044C1"/>
    <w:rsid w:val="00D054D6"/>
    <w:rsid w:val="00D35B90"/>
    <w:rsid w:val="00D54BDD"/>
    <w:rsid w:val="00D55F1C"/>
    <w:rsid w:val="00D66407"/>
    <w:rsid w:val="00D67077"/>
    <w:rsid w:val="00D71954"/>
    <w:rsid w:val="00D83062"/>
    <w:rsid w:val="00D929EE"/>
    <w:rsid w:val="00DB3D4D"/>
    <w:rsid w:val="00DC317B"/>
    <w:rsid w:val="00DD1D50"/>
    <w:rsid w:val="00DD3DD4"/>
    <w:rsid w:val="00DD4055"/>
    <w:rsid w:val="00E04393"/>
    <w:rsid w:val="00E0508A"/>
    <w:rsid w:val="00E1686D"/>
    <w:rsid w:val="00E171FD"/>
    <w:rsid w:val="00E26CEA"/>
    <w:rsid w:val="00E410E2"/>
    <w:rsid w:val="00E425EE"/>
    <w:rsid w:val="00E44E68"/>
    <w:rsid w:val="00E45571"/>
    <w:rsid w:val="00E52243"/>
    <w:rsid w:val="00E54DC5"/>
    <w:rsid w:val="00E55441"/>
    <w:rsid w:val="00E57CC2"/>
    <w:rsid w:val="00E70A61"/>
    <w:rsid w:val="00E75E02"/>
    <w:rsid w:val="00E81CE9"/>
    <w:rsid w:val="00E83BEF"/>
    <w:rsid w:val="00E85E8E"/>
    <w:rsid w:val="00E90194"/>
    <w:rsid w:val="00E91441"/>
    <w:rsid w:val="00E97AB4"/>
    <w:rsid w:val="00EA3C7D"/>
    <w:rsid w:val="00EA4FE9"/>
    <w:rsid w:val="00EA5A41"/>
    <w:rsid w:val="00EB3660"/>
    <w:rsid w:val="00EB633D"/>
    <w:rsid w:val="00EC0B21"/>
    <w:rsid w:val="00EC667D"/>
    <w:rsid w:val="00ED2CFA"/>
    <w:rsid w:val="00EE3D24"/>
    <w:rsid w:val="00EE7333"/>
    <w:rsid w:val="00EF13CD"/>
    <w:rsid w:val="00EF16FE"/>
    <w:rsid w:val="00F042D6"/>
    <w:rsid w:val="00F20BEB"/>
    <w:rsid w:val="00F517E8"/>
    <w:rsid w:val="00F5456C"/>
    <w:rsid w:val="00F60418"/>
    <w:rsid w:val="00F82D2E"/>
    <w:rsid w:val="00F87EFA"/>
    <w:rsid w:val="00F95E62"/>
    <w:rsid w:val="00FA45D2"/>
    <w:rsid w:val="00FA4F85"/>
    <w:rsid w:val="00FB1690"/>
    <w:rsid w:val="00FB7121"/>
    <w:rsid w:val="00FB74CC"/>
    <w:rsid w:val="00FC7871"/>
    <w:rsid w:val="00FC7FB6"/>
    <w:rsid w:val="00FD25C1"/>
    <w:rsid w:val="00FD3612"/>
    <w:rsid w:val="00FF4AA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24"/>
  </w:style>
  <w:style w:type="paragraph" w:styleId="Pidipagina">
    <w:name w:val="footer"/>
    <w:basedOn w:val="Normale"/>
    <w:link w:val="Pidipagina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24"/>
  </w:style>
  <w:style w:type="character" w:styleId="Rimandocommento">
    <w:name w:val="annotation reference"/>
    <w:basedOn w:val="Carpredefinitoparagrafo"/>
    <w:uiPriority w:val="99"/>
    <w:semiHidden/>
    <w:unhideWhenUsed/>
    <w:rsid w:val="00D67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7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70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24"/>
  </w:style>
  <w:style w:type="paragraph" w:styleId="Pidipagina">
    <w:name w:val="footer"/>
    <w:basedOn w:val="Normale"/>
    <w:link w:val="Pidipagina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24"/>
  </w:style>
  <w:style w:type="character" w:styleId="Rimandocommento">
    <w:name w:val="annotation reference"/>
    <w:basedOn w:val="Carpredefinitoparagrafo"/>
    <w:uiPriority w:val="99"/>
    <w:semiHidden/>
    <w:unhideWhenUsed/>
    <w:rsid w:val="00D67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7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7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Dovico</dc:creator>
  <cp:lastModifiedBy>mike</cp:lastModifiedBy>
  <cp:revision>2</cp:revision>
  <cp:lastPrinted>2018-05-16T07:28:00Z</cp:lastPrinted>
  <dcterms:created xsi:type="dcterms:W3CDTF">2019-12-03T12:57:00Z</dcterms:created>
  <dcterms:modified xsi:type="dcterms:W3CDTF">2019-12-03T12:57:00Z</dcterms:modified>
</cp:coreProperties>
</file>