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617"/>
        <w:gridCol w:w="5773"/>
      </w:tblGrid>
      <w:tr w:rsidR="00CF6ADA" w:rsidRPr="005E48B6" w:rsidTr="000C6161">
        <w:trPr>
          <w:jc w:val="center"/>
        </w:trPr>
        <w:tc>
          <w:tcPr>
            <w:tcW w:w="2550" w:type="dxa"/>
            <w:shd w:val="clear" w:color="auto" w:fill="DEEAF6" w:themeFill="accent1" w:themeFillTint="33"/>
            <w:vAlign w:val="center"/>
          </w:tcPr>
          <w:p w:rsidR="00CF6ADA" w:rsidRPr="005E48B6" w:rsidRDefault="000C6161" w:rsidP="003C00E7">
            <w:pPr>
              <w:spacing w:before="240" w:after="120"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bookmarkStart w:id="0" w:name="_GoBack"/>
            <w:bookmarkEnd w:id="0"/>
            <w:r w:rsidRPr="00A97AC3">
              <w:rPr>
                <w:rFonts w:ascii="Segoe UI" w:hAnsi="Segoe UI" w:cs="Segoe UI"/>
                <w:noProof/>
              </w:rPr>
              <w:drawing>
                <wp:inline distT="0" distB="0" distL="0" distR="0" wp14:anchorId="37A3656E" wp14:editId="127708C1">
                  <wp:extent cx="2160000" cy="730909"/>
                  <wp:effectExtent l="0" t="0" r="0" b="0"/>
                  <wp:docPr id="2" name="Immagine 2" descr="C:\Users\dovico\Desktop\Pacchetto logo formato png\marchio_unipi_orizz_pant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vico\Desktop\Pacchetto logo formato png\marchio_unipi_orizz_pant5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73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DEEAF6" w:themeFill="accent1" w:themeFillTint="33"/>
            <w:vAlign w:val="center"/>
          </w:tcPr>
          <w:p w:rsidR="000678F4" w:rsidRDefault="000678F4" w:rsidP="000C6161">
            <w:pPr>
              <w:spacing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Allegato alla </w:t>
            </w:r>
            <w:r w:rsidR="000C6161">
              <w:rPr>
                <w:rFonts w:ascii="Segoe UI" w:hAnsi="Segoe UI" w:cs="Segoe UI"/>
                <w:b/>
                <w:sz w:val="24"/>
                <w:szCs w:val="28"/>
              </w:rPr>
              <w:t>d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elibera di </w:t>
            </w:r>
            <w:r w:rsidR="000C6161">
              <w:rPr>
                <w:rFonts w:ascii="Segoe UI" w:hAnsi="Segoe UI" w:cs="Segoe UI"/>
                <w:b/>
                <w:sz w:val="24"/>
                <w:szCs w:val="28"/>
              </w:rPr>
              <w:t>a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pprovazione della</w:t>
            </w:r>
          </w:p>
          <w:p w:rsidR="000678F4" w:rsidRPr="005E48B6" w:rsidRDefault="00CF6ADA" w:rsidP="000C6161">
            <w:pPr>
              <w:spacing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5E48B6">
              <w:rPr>
                <w:rFonts w:ascii="Segoe UI" w:hAnsi="Segoe UI" w:cs="Segoe UI"/>
                <w:b/>
                <w:sz w:val="24"/>
                <w:szCs w:val="28"/>
              </w:rPr>
              <w:t>Scheda di Monitoraggio Annuale</w:t>
            </w:r>
          </w:p>
        </w:tc>
      </w:tr>
    </w:tbl>
    <w:p w:rsidR="00CF6ADA" w:rsidRPr="00514117" w:rsidRDefault="00CF6ADA" w:rsidP="00CE0FAD">
      <w:pPr>
        <w:mirrorIndents/>
        <w:rPr>
          <w:rFonts w:ascii="Segoe UI" w:hAnsi="Segoe UI" w:cs="Segoe UI"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:rsidTr="00CE0FAD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:rsidR="00154673" w:rsidRPr="00331781" w:rsidRDefault="00154673" w:rsidP="00154673">
            <w:pPr>
              <w:spacing w:after="160" w:line="276" w:lineRule="auto"/>
              <w:mirrorIndents/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</w:pPr>
            <w:r w:rsidRPr="00331781"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>Denominazione del Corso di Studio:</w:t>
            </w:r>
            <w:r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 xml:space="preserve"> Viticoltura ed Enologia</w:t>
            </w:r>
          </w:p>
          <w:p w:rsidR="00154673" w:rsidRPr="00331781" w:rsidRDefault="00154673" w:rsidP="00154673">
            <w:pPr>
              <w:spacing w:after="160" w:line="276" w:lineRule="auto"/>
              <w:mirrorIndents/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</w:pPr>
            <w:r w:rsidRPr="00331781"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>Classe:</w:t>
            </w:r>
            <w:r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 xml:space="preserve"> </w:t>
            </w:r>
            <w:r w:rsidRPr="00A46AB3"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>L-26 Scienze e tecnologie alimentari</w:t>
            </w:r>
          </w:p>
          <w:p w:rsidR="00154673" w:rsidRPr="00331781" w:rsidRDefault="00154673" w:rsidP="00154673">
            <w:pPr>
              <w:spacing w:after="160" w:line="276" w:lineRule="auto"/>
              <w:mirrorIndents/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</w:pPr>
            <w:r w:rsidRPr="00331781"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>Sede:</w:t>
            </w:r>
            <w:r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 xml:space="preserve"> Pisa</w:t>
            </w:r>
          </w:p>
          <w:p w:rsidR="00CF6ADA" w:rsidRPr="005B388F" w:rsidRDefault="00154673" w:rsidP="00154673">
            <w:pPr>
              <w:spacing w:after="160" w:line="259" w:lineRule="auto"/>
              <w:mirrorIndents/>
              <w:rPr>
                <w:rFonts w:ascii="Segoe UI" w:eastAsiaTheme="minorHAnsi" w:hAnsi="Segoe UI" w:cs="Segoe UI"/>
                <w:b/>
                <w:szCs w:val="22"/>
                <w:lang w:eastAsia="en-US"/>
              </w:rPr>
            </w:pPr>
            <w:r w:rsidRPr="00331781"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>Primo anno accademico di attivazione:</w:t>
            </w:r>
            <w:r>
              <w:rPr>
                <w:rFonts w:asciiTheme="minorHAnsi" w:eastAsiaTheme="minorHAnsi" w:hAnsiTheme="minorHAnsi" w:cs="Segoe UI"/>
                <w:b/>
                <w:sz w:val="22"/>
                <w:szCs w:val="22"/>
                <w:lang w:eastAsia="en-US"/>
              </w:rPr>
              <w:t xml:space="preserve"> 2013</w:t>
            </w:r>
          </w:p>
        </w:tc>
      </w:tr>
    </w:tbl>
    <w:p w:rsidR="00CF6ADA" w:rsidRPr="00514117" w:rsidRDefault="00CF6ADA" w:rsidP="00CE0FAD">
      <w:pPr>
        <w:mirrorIndents/>
        <w:jc w:val="both"/>
        <w:rPr>
          <w:rFonts w:ascii="Segoe UI" w:hAnsi="Segoe UI" w:cs="Segoe UI"/>
          <w:b/>
          <w:smallCaps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:rsidTr="00CE0FAD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:rsidR="00CF6ADA" w:rsidRPr="005E48B6" w:rsidRDefault="00CF6ADA" w:rsidP="00CE0FAD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b/>
                <w:szCs w:val="22"/>
              </w:rPr>
              <w:t xml:space="preserve">Gruppo di Riesame 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Componenti obbligatori: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 xml:space="preserve">Prof. Gianluca </w:t>
            </w:r>
            <w:proofErr w:type="spellStart"/>
            <w:r w:rsidRPr="00A46AB3">
              <w:rPr>
                <w:rFonts w:asciiTheme="minorHAnsi" w:hAnsiTheme="minorHAnsi" w:cs="Segoe UI"/>
                <w:sz w:val="22"/>
                <w:szCs w:val="22"/>
              </w:rPr>
              <w:t>Brunori</w:t>
            </w:r>
            <w:proofErr w:type="spellEnd"/>
            <w:r w:rsidRPr="00A46AB3">
              <w:rPr>
                <w:rFonts w:asciiTheme="minorHAnsi" w:hAnsiTheme="minorHAnsi" w:cs="Segoe UI"/>
                <w:sz w:val="22"/>
                <w:szCs w:val="22"/>
              </w:rPr>
              <w:t xml:space="preserve"> (Presidente del CdS, Responsabile del Riesame)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Sig. Borelli Raffaele (Rappresentante degli studenti)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Altri componenti: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 xml:space="preserve">Prof. Mike Frank Quartacci (Docente del CdS, Responsabile </w:t>
            </w:r>
            <w:proofErr w:type="spellStart"/>
            <w:r w:rsidRPr="00A46AB3">
              <w:rPr>
                <w:rFonts w:asciiTheme="minorHAnsi" w:hAnsiTheme="minorHAnsi" w:cs="Segoe UI"/>
                <w:sz w:val="22"/>
                <w:szCs w:val="22"/>
              </w:rPr>
              <w:t>AQ</w:t>
            </w:r>
            <w:proofErr w:type="spellEnd"/>
            <w:r w:rsidRPr="00A46AB3">
              <w:rPr>
                <w:rFonts w:asciiTheme="minorHAnsi" w:hAnsiTheme="minorHAnsi" w:cs="Segoe UI"/>
                <w:sz w:val="22"/>
                <w:szCs w:val="22"/>
              </w:rPr>
              <w:t xml:space="preserve"> del CdS)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Prof. Alberto Materazzi (Docente del CdS)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Prof. Michele Raffaelli (Docente del CdS)</w:t>
            </w:r>
          </w:p>
          <w:p w:rsidR="00154673" w:rsidRPr="00A46AB3" w:rsidRDefault="00154673" w:rsidP="00154673">
            <w:pPr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46AB3">
              <w:rPr>
                <w:rFonts w:asciiTheme="minorHAnsi" w:hAnsiTheme="minorHAnsi" w:cs="Segoe UI"/>
                <w:sz w:val="22"/>
                <w:szCs w:val="22"/>
              </w:rPr>
              <w:t>Dott. Stefano Fanti (Tecnico Amministrativo con funzione di Responsabile dell’Unità Didattica)</w:t>
            </w:r>
          </w:p>
          <w:p w:rsidR="00154673" w:rsidRDefault="00154673" w:rsidP="00CE0FAD">
            <w:pPr>
              <w:spacing w:after="160" w:line="259" w:lineRule="auto"/>
              <w:mirrorIndents/>
              <w:rPr>
                <w:rFonts w:asciiTheme="minorHAnsi" w:hAnsiTheme="minorHAnsi" w:cs="Segoe UI"/>
                <w:sz w:val="22"/>
                <w:szCs w:val="22"/>
              </w:rPr>
            </w:pPr>
          </w:p>
          <w:p w:rsidR="00CF6ADA" w:rsidRPr="00154673" w:rsidRDefault="00154673" w:rsidP="00CE0FAD">
            <w:pPr>
              <w:spacing w:after="160" w:line="259" w:lineRule="auto"/>
              <w:mirrorIndents/>
              <w:rPr>
                <w:rFonts w:asciiTheme="minorHAnsi" w:hAnsiTheme="minorHAnsi" w:cs="Segoe UI"/>
                <w:sz w:val="22"/>
                <w:szCs w:val="22"/>
              </w:rPr>
            </w:pPr>
            <w:r w:rsidRPr="00A96B02">
              <w:rPr>
                <w:rFonts w:asciiTheme="minorHAnsi" w:hAnsiTheme="minorHAnsi" w:cs="Segoe UI"/>
                <w:sz w:val="22"/>
                <w:szCs w:val="22"/>
              </w:rPr>
              <w:t>Il Gruppo di Riesame si è riunito, per la discussione degli indicatori riportati nei quadri di questa Scheda di Monitoraggio Annuale, operando come segue:</w:t>
            </w:r>
          </w:p>
          <w:p w:rsidR="00CF6ADA" w:rsidRDefault="00154673" w:rsidP="00CE0FAD">
            <w:pPr>
              <w:numPr>
                <w:ilvl w:val="0"/>
                <w:numId w:val="1"/>
              </w:numPr>
              <w:spacing w:before="120"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 xml:space="preserve"> 29 Novembre 2019: discussione degli indicatori e approvazione della bozza di scheda di monitoraggio annuale</w:t>
            </w:r>
          </w:p>
          <w:p w:rsidR="00154673" w:rsidRPr="005E48B6" w:rsidRDefault="00154673" w:rsidP="00CE0FAD">
            <w:pPr>
              <w:numPr>
                <w:ilvl w:val="0"/>
                <w:numId w:val="1"/>
              </w:numPr>
              <w:spacing w:before="120"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29 Novembre 2019: approvazione della scheda di monitoraggio annuale da parte del Consiglio di Corso di Laurea</w:t>
            </w:r>
          </w:p>
        </w:tc>
      </w:tr>
    </w:tbl>
    <w:p w:rsidR="00CF6ADA" w:rsidRPr="00514117" w:rsidRDefault="00CF6ADA" w:rsidP="00CE0FAD">
      <w:pPr>
        <w:mirrorIndents/>
        <w:rPr>
          <w:rFonts w:ascii="Segoe UI" w:hAnsi="Segoe UI" w:cs="Segoe UI"/>
          <w:sz w:val="10"/>
        </w:rPr>
      </w:pPr>
    </w:p>
    <w:p w:rsidR="001C1D68" w:rsidRDefault="001C1D6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:rsidTr="005847BB">
        <w:trPr>
          <w:jc w:val="center"/>
        </w:trPr>
        <w:tc>
          <w:tcPr>
            <w:tcW w:w="9392" w:type="dxa"/>
            <w:shd w:val="clear" w:color="auto" w:fill="D5DCE4"/>
            <w:vAlign w:val="center"/>
          </w:tcPr>
          <w:p w:rsidR="00CF6ADA" w:rsidRPr="005E48B6" w:rsidRDefault="00CF6ADA" w:rsidP="00CE0FAD">
            <w:pPr>
              <w:spacing w:line="216" w:lineRule="auto"/>
              <w:mirrorIndents/>
              <w:rPr>
                <w:rFonts w:ascii="Segoe UI" w:hAnsi="Segoe UI" w:cs="Segoe UI"/>
                <w:b/>
                <w:sz w:val="22"/>
                <w:szCs w:val="28"/>
              </w:rPr>
            </w:pPr>
            <w:r w:rsidRPr="005E48B6">
              <w:rPr>
                <w:rFonts w:ascii="Segoe UI" w:hAnsi="Segoe UI" w:cs="Segoe UI"/>
                <w:b/>
                <w:sz w:val="22"/>
                <w:szCs w:val="28"/>
              </w:rPr>
              <w:lastRenderedPageBreak/>
              <w:t>BREVE COMMENTO AGLI INDICATORI</w:t>
            </w:r>
          </w:p>
        </w:tc>
      </w:tr>
    </w:tbl>
    <w:p w:rsidR="00CF6ADA" w:rsidRPr="00514117" w:rsidRDefault="00CF6ADA" w:rsidP="00CE0FAD">
      <w:pPr>
        <w:mirrorIndents/>
        <w:rPr>
          <w:rFonts w:ascii="Segoe UI" w:hAnsi="Segoe UI" w:cs="Segoe UI"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:rsidTr="005847BB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L’analisi è stata condotta sulla base del set di indicatori reso disponibile dall’ANVUR attraverso la scheda di monitoraggio annuale del CdS (</w:t>
            </w:r>
            <w:r w:rsidRPr="00BD7264">
              <w:rPr>
                <w:rFonts w:cs="Lucida Sans Unicode"/>
                <w:b/>
                <w:color w:val="000000" w:themeColor="text1"/>
                <w:sz w:val="18"/>
                <w:szCs w:val="18"/>
              </w:rPr>
              <w:t>D3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). Gli indicatori sono quelli risultanti alla data del </w:t>
            </w:r>
            <w:r w:rsidR="0051352D">
              <w:rPr>
                <w:rFonts w:cs="Lucida Sans Unicode"/>
                <w:color w:val="000000" w:themeColor="text1"/>
                <w:sz w:val="18"/>
                <w:szCs w:val="18"/>
              </w:rPr>
              <w:t>28 settembre 2019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e consentono una valutazione della performance del CdS attraverso il confronto sia di tipo longitudinale (variazione degli indicatori</w:t>
            </w:r>
            <w:r w:rsidR="007550F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rispetto agli anni precedenti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) che trasversale (valore degli indicatori rispetto ai benchmark di riferimento, ovvero i CdS della stessa classe erogati nell’area geografica di appartenenza - Centro - e a livello nazionale).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Immatricolati ed iscritti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 xml:space="preserve">iC00a, iC00b, iC00d: </w:t>
            </w:r>
            <w:r w:rsidR="005F5E07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Punto di forza/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Criticità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Nel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2018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il CdS avviava alla carriera al primo anno 1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30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studenti, dopo un picco di 134 studenti nel 2014. L’aumento del numero di immatricolati ha influenzato il numero complessivo di iscritti (iC00d) che al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2018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risulta pari a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420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 Per il CdS, questo indicatore rappresenta un fattore di attrattività e dunque un punto di forza, ma anche un fattore di criticità, in relazione alla pressione del numero di studenti sulle ore di docenza disponibili e sulle strutture.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Attrattività del CdS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iC03: Punto di forza</w:t>
            </w:r>
          </w:p>
          <w:p w:rsidR="00154673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Il CdS presenta una forte attrattività nei confronti di altre regioni, come mostrato dall’indicatore iC03 (percentuale di iscritti al primo anno (L, LMCU) provenienti da altre Regioni</w:t>
            </w:r>
            <w:r w:rsidR="00D67077">
              <w:rPr>
                <w:rFonts w:cs="Lucida Sans Unicode"/>
                <w:color w:val="000000" w:themeColor="text1"/>
                <w:sz w:val="18"/>
                <w:szCs w:val="18"/>
              </w:rPr>
              <w:t>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valore 20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18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35,4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%, in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 xml:space="preserve">crescita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rispetto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 xml:space="preserve">all’anno precedente che peraltro aveva messo in evidenza un temporaneo calo. Il dato è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superiore a quello di altri Atenei.</w:t>
            </w:r>
          </w:p>
          <w:p w:rsidR="005F5E07" w:rsidRPr="006F17D1" w:rsidRDefault="005F5E0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Prosecuzione degli studi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iC14, iC21, iC23: Criticità simile a quella di altri Atenei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iC14, iC21, iC23 non mostrano scostamenti rilevanti rispetto ad altri Atenei.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Nel 2018 ha proseguito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studi nel CdS dopo il 1° anno il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63,8%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degli studenti, mentre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aumenta la percentuale di studenti che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cambia CdS rimanendo nello stesso ateneo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(10%)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iC24: Punto di debolezza</w:t>
            </w:r>
          </w:p>
          <w:p w:rsidR="00154673" w:rsidRPr="003F3002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L’indicatore iC24 evidenzia criticità riguardo alla </w:t>
            </w:r>
            <w:r w:rsidRPr="009C5B8A">
              <w:rPr>
                <w:rFonts w:cs="Lucida Sans Unicode"/>
                <w:b/>
                <w:color w:val="000000" w:themeColor="text1"/>
                <w:sz w:val="18"/>
                <w:szCs w:val="18"/>
              </w:rPr>
              <w:t>percentuale di abbandoni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del CdS dopo N+1 anni (valore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40,2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%).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Si registra peraltro un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miglioramento rispetto al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(valore nel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53,6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che fa avvicinare notevolmente il </w:t>
            </w:r>
            <w:r w:rsidR="00EA5A41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alla media degli altri atenei in Italia 35,2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Regolarità degli studi e della produttività degli iscritti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iC01: Punto di debolezza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Riguardo all’indicatore iC01 (percentuale di studenti iscritti entro la durata normale del CdS che abbiano acquisito almeno </w:t>
            </w:r>
            <w:proofErr w:type="gram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40</w:t>
            </w:r>
            <w:proofErr w:type="gram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CFU nell’anno solare),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nel 2018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la performance del CdS è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pari al 16,6%,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>praticamente la metà di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quella degli Atenei dell’area Centro.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>Dopo anni di miglioramento, nel 2018 si è verificato un forte calo, in parte legato all’avvicendamento della forza docente nelle materie di base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iC15 / iC15bis: Punto di debolezza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iC15 (percentuale di studenti che proseguono al 2° anno nello stesso CdS avendo acquisito almeno 20 CFU al 1° anno) e iC15BIS (percentuale di studenti che proseguono nel 2° anno nello stesso CdS avendo acquisito almeno 1/3 dei CFU al 1° anno) mostrano per il CdS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>un’inversione di tendenza rispetto agli anni precedenti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Infatti,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dopo alcuni anni di riavvicinamento alle medie regionali e nazionali, nel 2018 si registra un netto calo (dal 63% del 2017 al 42% del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2018)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iC16 / iC16bis:</w:t>
            </w:r>
            <w:r w:rsidRPr="009C5B8A">
              <w:rPr>
                <w:rFonts w:cs="Lucida Sans Unicode"/>
                <w:color w:val="FF0000"/>
                <w:sz w:val="18"/>
                <w:szCs w:val="18"/>
              </w:rPr>
              <w:t xml:space="preserve"> </w:t>
            </w: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:rsidR="00154673" w:rsidRPr="009C5B8A" w:rsidRDefault="006646BE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Analoga situazione per quello che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riguarda gli indicatori iC16 (percentuale di studenti che proseguono nel 2° anno nello stesso CdS avendo acquisito almeno 40 CFU al 1° anno) e iC16BIS (percentuale di studenti che proseguono nel 2° anno nello stesso CdS avendo acquisito almeno 2/3 dei CFU al 1° anno)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I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valori del 201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(</w:t>
            </w:r>
            <w:r w:rsidR="003571ED">
              <w:rPr>
                <w:rFonts w:cs="Lucida Sans Unicode"/>
                <w:color w:val="000000" w:themeColor="text1"/>
                <w:sz w:val="18"/>
                <w:szCs w:val="18"/>
              </w:rPr>
              <w:t>entrambi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15%)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sono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decisamente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più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bassi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di quelli di confronto (Centro e Italia)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, dopo che l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’andamento dei due anni precedenti aveva già evidenziato una costante e consistente diminuzione dei valori.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iC13: Punto di debolezza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iC13 (percentuale di CFU conseguiti al 1° anno su CFU da conseguire, valore 201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35,8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%) ha mostrato valori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inferiori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a quelli riscontrati nell’area Italia</w:t>
            </w:r>
            <w:r w:rsidR="007550F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ma simili a quelli del Centro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, dopo che l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’andamento del CdS nei tre anni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era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stato in continuo aumento.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iC10: Punto di debolezza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iC10 (percentuale di CFU conseguiti all'estero dagli studenti regolari sul totale dei CFU conseguiti dagli studenti entro la durata normale del corso, valore 201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2,7%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 rappresenta un punto di debolezza del CdS.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Indicatori sui laureati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iC02: </w:t>
            </w:r>
            <w:r w:rsidR="009E60CF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  <w:r w:rsidR="006646BE">
              <w:rPr>
                <w:rFonts w:cs="Lucida Sans Unicode"/>
                <w:color w:val="FF0000"/>
                <w:sz w:val="18"/>
                <w:szCs w:val="18"/>
                <w:u w:val="single"/>
              </w:rPr>
              <w:t>, t</w:t>
            </w: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rend positivo</w:t>
            </w:r>
          </w:p>
          <w:p w:rsidR="00154673" w:rsidRPr="009C5B8A" w:rsidRDefault="001267C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>Anche l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’indicatore iC02 (percentuale di laureati entro la durata normale del corso)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mostra nel 2018 un valore, 35,3%, che prosegue il trend positivo, che diminuisce ulteriormente la distanza con gli altri atenei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iC11: Punto di debolezza</w:t>
            </w:r>
          </w:p>
          <w:p w:rsidR="00154673" w:rsidRPr="009C5B8A" w:rsidRDefault="006646BE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>Nel 2018 due laureati su 18 aveva</w:t>
            </w:r>
            <w:r w:rsidR="003571ED">
              <w:rPr>
                <w:rFonts w:cs="Lucida Sans Unicode"/>
                <w:color w:val="000000" w:themeColor="text1"/>
                <w:sz w:val="18"/>
                <w:szCs w:val="18"/>
              </w:rPr>
              <w:t>no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conseguito almeno 12 </w:t>
            </w:r>
            <w:proofErr w:type="spellStart"/>
            <w:r>
              <w:rPr>
                <w:rFonts w:cs="Lucida Sans Unicode"/>
                <w:color w:val="000000" w:themeColor="text1"/>
                <w:sz w:val="18"/>
                <w:szCs w:val="18"/>
              </w:rPr>
              <w:t>cfu</w:t>
            </w:r>
            <w:proofErr w:type="spellEnd"/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all’estero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, consentendo un incremento dell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’indicatore di percorso iC11 (percentuale di laureati entro la durata normale che hanno acquisito almeno 12 CFU all’estero)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 xml:space="preserve">Questo risultato è il frutto degli sforzi del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CdS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per avviare un processo di internazionalizzazione, ma che è ancora lontano da un risultato soddisfacente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:rsidR="00154673" w:rsidRPr="001267C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1267C7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iC22: </w:t>
            </w:r>
            <w:r w:rsidR="001267C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evidenziano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 xml:space="preserve">un vistoso calo del numero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di immatricolati che si laureano entro la durata normale del corso (iC22),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pari a 0 nel 2018.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iC17: Punto di debolezza</w:t>
            </w:r>
          </w:p>
          <w:p w:rsidR="005F5E07" w:rsidRDefault="001267C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lastRenderedPageBreak/>
              <w:t>L’incremento del valore dell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’indicatore iC17 (percentuale di immatricolati che si laureano entro un anno oltre la durata normale del corso nello stesso CdS)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riflette il calo dell’indicatore iC22</w:t>
            </w:r>
            <w:r w:rsidR="005F5E07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:rsidR="001267C7" w:rsidRDefault="001267C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 xml:space="preserve">Soddisfazione e </w:t>
            </w:r>
            <w:proofErr w:type="spellStart"/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occupabilità</w:t>
            </w:r>
            <w:proofErr w:type="spellEnd"/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 xml:space="preserve"> dei laureati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iC06 / iC06BIS: Punto di forza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Gli indicatori iC06 (percentuale di laureati occupati a un anno dal titolo che dichiarano di svolgere un'attività lavorativa o di formazione retribuita, valore nel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48,6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%), iC06BIS (percentuale di laureati occupati a un anno dal titolo che dichiarano di svolgere un'attività lavorativa e regolamentata da un contratto, o di svolgere attività di formazione retribuita, valore nel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57,9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 e iC06TER (percentuale di laureati occupati a un anno dal titolo non impegnati in formazione non retribuita che dichiarano di svolgere un'attività lavorativa e regolamentata da un contratto, valore nel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77,3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%) hanno mostrato valori simili e spesso superiori a quelli del Centro e nazionali, a dimostrazione che il CdS offre un alto grado di occupazione per i suoi laureati. </w:t>
            </w:r>
          </w:p>
          <w:p w:rsidR="00154673" w:rsidRPr="007550F7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iC26, iC26BIS, iC07, iC07BIS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Per questi indicatori non ci sono dati disponibili.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iC18 / iC25: Punto di forza</w:t>
            </w:r>
          </w:p>
          <w:p w:rsidR="00154673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Per ciò che concerne la soddisfazione dei laureandi (indicatore iC25, percentuale di laureandi complessivamente soddisfatti del CdS, valore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93,6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 e iC18, percentuale di laureati che si iscriverebbero di nuovo allo stesso CdS, valore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89,4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%), i dati evidenziati dalla scheda di monitoraggio del CdS mostrano sempre valori superiori alle medie delle altre due zone di riferimento a conferma della qualità del percorso di laurea.</w:t>
            </w:r>
          </w:p>
          <w:p w:rsidR="005F5E07" w:rsidRPr="009C5B8A" w:rsidRDefault="005F5E0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Sostenibilità, consistenza e qualificazione della docenza</w:t>
            </w:r>
          </w:p>
          <w:p w:rsidR="00154673" w:rsidRPr="007550F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iC05:</w:t>
            </w:r>
            <w:r w:rsidRPr="007550F7">
              <w:rPr>
                <w:rFonts w:cs="Lucida Sans Unicode"/>
                <w:color w:val="FF0000"/>
                <w:sz w:val="18"/>
                <w:szCs w:val="18"/>
              </w:rPr>
              <w:t xml:space="preserve"> </w:t>
            </w:r>
            <w:r w:rsidR="009E60CF"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debolezza, trend positivo</w:t>
            </w:r>
          </w:p>
          <w:p w:rsidR="009E60CF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Il rapporto studenti regolari/docenti (indicatore iC05, valore 201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12,4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), indicativo della numerosità della popolazione studentesca “in corso” rispetto al corpo docenti (professori a tempo indeterminato, ricercatori a tempo indeterminato, ricercatori di tipo a e tipo b), è </w:t>
            </w:r>
            <w:r w:rsidR="006020C8">
              <w:rPr>
                <w:rFonts w:cs="Lucida Sans Unicode"/>
                <w:color w:val="000000" w:themeColor="text1"/>
                <w:sz w:val="18"/>
                <w:szCs w:val="18"/>
              </w:rPr>
              <w:t>in lieve calo rispetto agli anni passati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iC08: Punto di forza</w:t>
            </w:r>
          </w:p>
          <w:p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iC08, che valuta la coerenza della composizione dei docenti di riferimento rispetto ai settori scientifico-disciplinari di base e caratterizzanti (valore 201</w:t>
            </w:r>
            <w:r w:rsidR="006020C8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100%), evidenzia che il CdS ha conseguito dei valori medi superiori a quelli delle altre zone geografiche. </w:t>
            </w:r>
          </w:p>
          <w:p w:rsidR="00154673" w:rsidRPr="007550F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iC27: </w:t>
            </w:r>
            <w:r w:rsidR="009E60CF"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debolezza, trend positivo</w:t>
            </w:r>
          </w:p>
          <w:p w:rsidR="00154673" w:rsidRPr="006020C8" w:rsidRDefault="00154673" w:rsidP="00154673">
            <w:pPr>
              <w:pStyle w:val="Default"/>
              <w:mirrorIndents/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</w:pP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L’indicatore iC27 (rapporto studenti iscritti al 1° anno/docenti degli insegnamenti del 1° anno pesato per le ore di docenza) evidenzia in tutti e tre gli anni considerati valori più alti rispetto a quelli di riferimento (valore 201</w:t>
            </w:r>
            <w:r w:rsid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8</w:t>
            </w: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: 3</w:t>
            </w:r>
            <w:r w:rsid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6</w:t>
            </w: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,</w:t>
            </w:r>
            <w:r w:rsid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2</w:t>
            </w: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). Se ne deduce che gli studenti del CdS usufruiscono di risorse di docenza minori rispetto alla media degli altri Atenei. La situazione è da imputare alla forte crescita della popolazione studentesca nel periodo considerato, alla quale non ha fatto riscontro un corrispondente aumento del personale docente.</w:t>
            </w:r>
          </w:p>
          <w:p w:rsidR="00154673" w:rsidRPr="00A96B02" w:rsidRDefault="00154673" w:rsidP="00154673">
            <w:pPr>
              <w:pStyle w:val="Default"/>
              <w:mirrorIndents/>
              <w:rPr>
                <w:rFonts w:asciiTheme="minorHAnsi" w:hAnsiTheme="minorHAnsi"/>
                <w:color w:val="auto"/>
                <w:sz w:val="18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:rsidR="00CF6ADA" w:rsidRPr="00A87E8E" w:rsidRDefault="00CF6ADA" w:rsidP="00CE0FAD">
            <w:pPr>
              <w:pStyle w:val="Default"/>
              <w:mirrorIndents/>
              <w:rPr>
                <w:i/>
                <w:sz w:val="16"/>
                <w:szCs w:val="18"/>
                <w:lang w:val="sv-SE"/>
              </w:rPr>
            </w:pPr>
          </w:p>
        </w:tc>
      </w:tr>
    </w:tbl>
    <w:p w:rsidR="00CF6ADA" w:rsidRDefault="00CF6ADA" w:rsidP="00CE0FAD">
      <w:pPr>
        <w:mirrorIndents/>
        <w:rPr>
          <w:rFonts w:ascii="Segoe UI" w:hAnsi="Segoe UI" w:cs="Segoe UI"/>
        </w:rPr>
      </w:pPr>
    </w:p>
    <w:p w:rsidR="00CF6ADA" w:rsidRDefault="00CF6ADA" w:rsidP="00CE0FAD">
      <w:pPr>
        <w:mirrorIndents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:rsidTr="00EC7E9F">
        <w:tc>
          <w:tcPr>
            <w:tcW w:w="9392" w:type="dxa"/>
            <w:shd w:val="clear" w:color="auto" w:fill="D5DCE4"/>
            <w:vAlign w:val="center"/>
          </w:tcPr>
          <w:p w:rsidR="00CF6ADA" w:rsidRPr="005E48B6" w:rsidRDefault="00CF6ADA" w:rsidP="00CE0FAD">
            <w:pPr>
              <w:spacing w:line="216" w:lineRule="auto"/>
              <w:mirrorIndents/>
              <w:rPr>
                <w:rFonts w:ascii="Segoe UI" w:hAnsi="Segoe UI" w:cs="Segoe UI"/>
                <w:b/>
                <w:sz w:val="22"/>
                <w:szCs w:val="28"/>
              </w:rPr>
            </w:pPr>
            <w:r>
              <w:rPr>
                <w:rFonts w:ascii="Segoe UI" w:hAnsi="Segoe UI" w:cs="Segoe UI"/>
                <w:b/>
                <w:sz w:val="22"/>
                <w:szCs w:val="28"/>
              </w:rPr>
              <w:lastRenderedPageBreak/>
              <w:t>R</w:t>
            </w:r>
            <w:r w:rsidRPr="005E48B6">
              <w:rPr>
                <w:rFonts w:ascii="Segoe UI" w:hAnsi="Segoe UI" w:cs="Segoe UI"/>
                <w:b/>
                <w:sz w:val="22"/>
                <w:szCs w:val="28"/>
              </w:rPr>
              <w:t>I</w:t>
            </w:r>
            <w:r>
              <w:rPr>
                <w:rFonts w:ascii="Segoe UI" w:hAnsi="Segoe UI" w:cs="Segoe UI"/>
                <w:b/>
                <w:sz w:val="22"/>
                <w:szCs w:val="28"/>
              </w:rPr>
              <w:t>EPILOGO INDICATORI UTILIZZATI</w:t>
            </w:r>
          </w:p>
        </w:tc>
      </w:tr>
    </w:tbl>
    <w:p w:rsidR="00CF6ADA" w:rsidRDefault="00CF6ADA" w:rsidP="00CE0FAD">
      <w:pPr>
        <w:mirrorIndents/>
        <w:rPr>
          <w:rFonts w:ascii="Segoe UI" w:hAnsi="Segoe UI" w:cs="Segoe UI"/>
          <w:i/>
          <w:sz w:val="16"/>
          <w:szCs w:val="18"/>
        </w:rPr>
      </w:pPr>
      <w:r w:rsidRPr="00783743">
        <w:rPr>
          <w:rFonts w:ascii="Segoe UI" w:hAnsi="Segoe UI" w:cs="Segoe UI"/>
          <w:i/>
          <w:sz w:val="16"/>
          <w:szCs w:val="18"/>
        </w:rPr>
        <w:t>(indica</w:t>
      </w:r>
      <w:r w:rsidR="00DD1D50">
        <w:rPr>
          <w:rFonts w:ascii="Segoe UI" w:hAnsi="Segoe UI" w:cs="Segoe UI"/>
          <w:i/>
          <w:sz w:val="16"/>
          <w:szCs w:val="18"/>
        </w:rPr>
        <w:t>re con</w:t>
      </w:r>
      <w:r w:rsidRPr="00783743">
        <w:rPr>
          <w:rFonts w:ascii="Segoe UI" w:hAnsi="Segoe UI" w:cs="Segoe UI"/>
          <w:i/>
          <w:sz w:val="16"/>
          <w:szCs w:val="18"/>
        </w:rPr>
        <w:t xml:space="preserve"> </w:t>
      </w:r>
      <w:r>
        <w:rPr>
          <w:rFonts w:ascii="Segoe UI" w:hAnsi="Segoe UI" w:cs="Segoe UI"/>
          <w:i/>
          <w:sz w:val="16"/>
          <w:szCs w:val="18"/>
        </w:rPr>
        <w:t xml:space="preserve">una crocetta </w:t>
      </w:r>
      <w:r w:rsidR="00DD1D50">
        <w:rPr>
          <w:rFonts w:ascii="Segoe UI" w:hAnsi="Segoe UI" w:cs="Segoe UI"/>
          <w:i/>
          <w:sz w:val="16"/>
          <w:szCs w:val="18"/>
        </w:rPr>
        <w:t>il tenore de</w:t>
      </w:r>
      <w:r>
        <w:rPr>
          <w:rFonts w:ascii="Segoe UI" w:hAnsi="Segoe UI" w:cs="Segoe UI"/>
          <w:i/>
          <w:sz w:val="16"/>
          <w:szCs w:val="18"/>
        </w:rPr>
        <w:t xml:space="preserve">gli indicatori </w:t>
      </w:r>
      <w:r w:rsidR="00DD1D50">
        <w:rPr>
          <w:rFonts w:ascii="Segoe UI" w:hAnsi="Segoe UI" w:cs="Segoe UI"/>
          <w:i/>
          <w:sz w:val="16"/>
          <w:szCs w:val="18"/>
        </w:rPr>
        <w:t>scelti per</w:t>
      </w:r>
      <w:r>
        <w:rPr>
          <w:rFonts w:ascii="Segoe UI" w:hAnsi="Segoe UI" w:cs="Segoe UI"/>
          <w:i/>
          <w:sz w:val="16"/>
          <w:szCs w:val="18"/>
        </w:rPr>
        <w:t xml:space="preserve"> </w:t>
      </w:r>
      <w:r w:rsidR="00DD1D50">
        <w:rPr>
          <w:rFonts w:ascii="Segoe UI" w:hAnsi="Segoe UI" w:cs="Segoe UI"/>
          <w:i/>
          <w:sz w:val="16"/>
          <w:szCs w:val="18"/>
        </w:rPr>
        <w:t>il commento</w:t>
      </w:r>
      <w:r w:rsidR="0041391E">
        <w:rPr>
          <w:rFonts w:ascii="Segoe UI" w:hAnsi="Segoe UI" w:cs="Segoe UI"/>
          <w:i/>
          <w:sz w:val="16"/>
          <w:szCs w:val="18"/>
        </w:rPr>
        <w:t>, ai fini di successive analisi da parte di tutti gli attori convolti nel Sistema AQ</w:t>
      </w:r>
      <w:r>
        <w:rPr>
          <w:rFonts w:ascii="Segoe UI" w:hAnsi="Segoe UI" w:cs="Segoe UI"/>
          <w:i/>
          <w:sz w:val="16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8289"/>
        <w:gridCol w:w="264"/>
        <w:gridCol w:w="264"/>
        <w:gridCol w:w="264"/>
        <w:gridCol w:w="264"/>
      </w:tblGrid>
      <w:tr w:rsidR="009E60CF" w:rsidRPr="009C5B8A" w:rsidTr="00F209F4">
        <w:trPr>
          <w:cantSplit/>
          <w:trHeight w:val="2279"/>
        </w:trPr>
        <w:tc>
          <w:tcPr>
            <w:tcW w:w="222" w:type="pct"/>
            <w:shd w:val="clear" w:color="auto" w:fill="auto"/>
            <w:noWrap/>
            <w:textDirection w:val="btLr"/>
            <w:vAlign w:val="bottom"/>
          </w:tcPr>
          <w:p w:rsidR="009E60CF" w:rsidRPr="009C5B8A" w:rsidRDefault="009E60CF" w:rsidP="00F209F4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Indicatore</w:t>
            </w:r>
          </w:p>
        </w:tc>
        <w:tc>
          <w:tcPr>
            <w:tcW w:w="4234" w:type="pct"/>
            <w:shd w:val="clear" w:color="auto" w:fill="auto"/>
            <w:noWrap/>
            <w:vAlign w:val="center"/>
          </w:tcPr>
          <w:p w:rsidR="009E60CF" w:rsidRPr="009C5B8A" w:rsidRDefault="009E60CF" w:rsidP="00F20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Descrittore</w:t>
            </w:r>
          </w:p>
        </w:tc>
        <w:tc>
          <w:tcPr>
            <w:tcW w:w="136" w:type="pct"/>
            <w:textDirection w:val="btLr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Punto di forza</w:t>
            </w:r>
          </w:p>
        </w:tc>
        <w:tc>
          <w:tcPr>
            <w:tcW w:w="136" w:type="pct"/>
            <w:textDirection w:val="btLr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criticità giustificata</w:t>
            </w:r>
          </w:p>
        </w:tc>
        <w:tc>
          <w:tcPr>
            <w:tcW w:w="136" w:type="pct"/>
            <w:textDirection w:val="btLr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punto</w:t>
            </w:r>
            <w:proofErr w:type="gramEnd"/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 debolezza, trend stabile o negativo</w:t>
            </w:r>
          </w:p>
        </w:tc>
        <w:tc>
          <w:tcPr>
            <w:tcW w:w="136" w:type="pct"/>
            <w:textDirection w:val="btLr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punto di debolezza, trend positivo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iC01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Percentuale di studenti iscritti entro la durata normale del CdS che abbiano acquisito almeno 40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CFU</w:t>
            </w:r>
            <w:proofErr w:type="spellEnd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nell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’</w:t>
            </w: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a.s.</w:t>
            </w:r>
            <w:proofErr w:type="spellEnd"/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iC02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laureati (L, LM, LMCU) entro la durata normale del corso*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iC03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iscritti al primo anno (L, LMCU) provenienti da altre Regioni*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iC04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iC05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Rapporto studenti regolari/docenti (professori a tempo indeterminato, ricercatori a tempo indeterminato, ricercatori di tipo a e tipo b)</w:t>
            </w:r>
            <w:proofErr w:type="gram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*</w:t>
            </w:r>
            <w:proofErr w:type="gramEnd"/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iC06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Laureati occupati a un anno dal Titolo (L) - Laureati che dichiarano di svolgere un'attività lavorativa o di formazione retribuita (es. dottorato con borsa, specializzazione in medicina, ecc.)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iC07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iC08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dei docenti di ruolo che appartengono a settori scientifico-disciplinari (SSD) di base e caratterizzanti per Corso di Studio (L, LMCU, LM), di cui sono docenti di riferimento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iC09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Valori dell’indicatore di Qualità della ricerca dei docenti per le lauree magistrali (QRDLM) (valore di riferimento: 0,8)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iC10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CFU conseguiti all’estero dagli studenti regolari sul totale dei CFU conseguiti dagli studenti entro la durata normale del corso*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iC11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Percentuale di laureati (L, LM, LMCU) entro la durata normale del corso che hanno acquisito almeno 12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CFU</w:t>
            </w:r>
            <w:proofErr w:type="spellEnd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allíestero</w:t>
            </w:r>
            <w:proofErr w:type="spellEnd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iC12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Percentuale di studenti iscritti al primo anno del corso di laurea (L) e laurea magistrale (LM, LMCU) che hanno conseguito il precedente titolo di studio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allíestero</w:t>
            </w:r>
            <w:proofErr w:type="spellEnd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iC13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CFU conseguiti al I anno su CFU da conseguire**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iC14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nel II anno nello stesso Corso di Studio**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iC15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al II anno nello stesso Corso di Studio avendo acquisito almeno 20 CFU al I anno**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iC15BIS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al II anno nello stesso Corso di Studio avendo acquisito almeno 1/3 dei CFU previsti al I anno 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iC16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al II anno nello stesso Corso di Studio avendo acquisito almeno 40 CFU al I anno**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iC16BIS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al II anno nello stesso Corso di Studio avendo acquisito almeno 2/3 dei CFU previsti al I anno 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E97AB4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iC17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immatricolati (L, LM, LMCU) che si laureano entro un anno oltre la durata normale del corso nello stesso Corso di Studio**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iC18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laureati che si iscriverebbero di nuovo allo stesso Corso di Studio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iC19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ore di docenza erogata da docenti assunti a tempo indeterminato sul totale delle ore di docenza erogata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iC20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iC21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studenti che proseguono la carriera nel sistema universitario al II anno**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E97AB4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iC22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immatricolati (L, LM, LMCU) che si laureano, nel CdS, entro la durata normale del corso**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iC23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Percentuale di immatricolati (L, LM, LMCU) che proseguono la carriera al secondo anno in un differente CdS </w:t>
            </w:r>
            <w:proofErr w:type="spellStart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dellAteneo</w:t>
            </w:r>
            <w:proofErr w:type="spellEnd"/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iC24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abbandoni del CdS dopo N+1 anni**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iC25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laureandi complessivamente soddisfatti del CdS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iC26</w:t>
            </w:r>
          </w:p>
        </w:tc>
        <w:tc>
          <w:tcPr>
            <w:tcW w:w="4234" w:type="pct"/>
            <w:shd w:val="clear" w:color="auto" w:fill="auto"/>
            <w:noWrap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Percentuale di Laureati occupati a un anno dal Titolo (LM, LMCU) - Laureati che dichiarano di svolgere un’attività lavorativa o di formazione retribuita (es. dottorato con borsa, specializzazione in medicina, ecc.)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9E60CF" w:rsidRPr="009C5B8A" w:rsidTr="00F209F4">
        <w:trPr>
          <w:trHeight w:val="320"/>
        </w:trPr>
        <w:tc>
          <w:tcPr>
            <w:tcW w:w="222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iC27</w:t>
            </w:r>
          </w:p>
        </w:tc>
        <w:tc>
          <w:tcPr>
            <w:tcW w:w="4234" w:type="pct"/>
            <w:shd w:val="clear" w:color="auto" w:fill="auto"/>
            <w:noWrap/>
            <w:vAlign w:val="bottom"/>
            <w:hideMark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C5B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Rapporto studenti iscritti/docenti complessivo (pesato per le ore di docenza)</w:t>
            </w: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" w:type="pct"/>
            <w:vAlign w:val="bottom"/>
          </w:tcPr>
          <w:p w:rsidR="009E60CF" w:rsidRPr="009C5B8A" w:rsidRDefault="009E60CF" w:rsidP="00F2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</w:tr>
    </w:tbl>
    <w:p w:rsidR="00A26C62" w:rsidRDefault="00A26C62" w:rsidP="00CE0FAD">
      <w:pPr>
        <w:mirrorIndents/>
      </w:pPr>
    </w:p>
    <w:sectPr w:rsidR="00A26C62" w:rsidSect="005A75EF">
      <w:footerReference w:type="default" r:id="rId9"/>
      <w:headerReference w:type="first" r:id="rId10"/>
      <w:pgSz w:w="11906" w:h="16838"/>
      <w:pgMar w:top="1418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87" w:rsidRDefault="007B6987" w:rsidP="00EE3D24">
      <w:pPr>
        <w:spacing w:after="0" w:line="240" w:lineRule="auto"/>
      </w:pPr>
      <w:r>
        <w:separator/>
      </w:r>
    </w:p>
  </w:endnote>
  <w:endnote w:type="continuationSeparator" w:id="0">
    <w:p w:rsidR="007B6987" w:rsidRDefault="007B6987" w:rsidP="00EE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EA" w:rsidRDefault="00E26CEA" w:rsidP="00E26CEA">
    <w:pPr>
      <w:pStyle w:val="Pidipagina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7054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7054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87" w:rsidRDefault="007B6987" w:rsidP="00EE3D24">
      <w:pPr>
        <w:spacing w:after="0" w:line="240" w:lineRule="auto"/>
      </w:pPr>
      <w:r>
        <w:separator/>
      </w:r>
    </w:p>
  </w:footnote>
  <w:footnote w:type="continuationSeparator" w:id="0">
    <w:p w:rsidR="007B6987" w:rsidRDefault="007B6987" w:rsidP="00EE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EF" w:rsidRPr="006A360D" w:rsidRDefault="005A75EF" w:rsidP="005A75EF">
    <w:pPr>
      <w:pStyle w:val="Intestazione"/>
      <w:rPr>
        <w:rFonts w:ascii="Segoe UI" w:hAnsi="Segoe UI" w:cs="Segoe UI"/>
        <w:sz w:val="20"/>
      </w:rPr>
    </w:pPr>
    <w:r w:rsidRPr="006A360D">
      <w:rPr>
        <w:rFonts w:ascii="Segoe UI" w:hAnsi="Segoe UI" w:cs="Segoe UI"/>
        <w:sz w:val="20"/>
      </w:rPr>
      <w:tab/>
    </w:r>
    <w:r w:rsidRPr="006A360D">
      <w:rPr>
        <w:rFonts w:ascii="Segoe UI" w:hAnsi="Segoe UI" w:cs="Segoe UI"/>
        <w:sz w:val="20"/>
      </w:rPr>
      <w:tab/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DA"/>
    <w:rsid w:val="000153EE"/>
    <w:rsid w:val="00023DC5"/>
    <w:rsid w:val="00035EE7"/>
    <w:rsid w:val="0004131D"/>
    <w:rsid w:val="00054150"/>
    <w:rsid w:val="00056C97"/>
    <w:rsid w:val="000621CA"/>
    <w:rsid w:val="00067682"/>
    <w:rsid w:val="000678F4"/>
    <w:rsid w:val="00071881"/>
    <w:rsid w:val="0009175E"/>
    <w:rsid w:val="00097CAB"/>
    <w:rsid w:val="000C0669"/>
    <w:rsid w:val="000C1DFA"/>
    <w:rsid w:val="000C6057"/>
    <w:rsid w:val="000C6161"/>
    <w:rsid w:val="000C77FE"/>
    <w:rsid w:val="000D5368"/>
    <w:rsid w:val="000E5A9C"/>
    <w:rsid w:val="000F2451"/>
    <w:rsid w:val="00106037"/>
    <w:rsid w:val="00122F6D"/>
    <w:rsid w:val="001241C6"/>
    <w:rsid w:val="0012519E"/>
    <w:rsid w:val="0012678D"/>
    <w:rsid w:val="001267C7"/>
    <w:rsid w:val="00135812"/>
    <w:rsid w:val="0014772C"/>
    <w:rsid w:val="00154673"/>
    <w:rsid w:val="00154BD6"/>
    <w:rsid w:val="001620B0"/>
    <w:rsid w:val="001731F4"/>
    <w:rsid w:val="001734FF"/>
    <w:rsid w:val="00192844"/>
    <w:rsid w:val="001945D2"/>
    <w:rsid w:val="001A102C"/>
    <w:rsid w:val="001A1DC3"/>
    <w:rsid w:val="001A1DD6"/>
    <w:rsid w:val="001C1D68"/>
    <w:rsid w:val="001C3460"/>
    <w:rsid w:val="001C39C8"/>
    <w:rsid w:val="001C4978"/>
    <w:rsid w:val="001D40AB"/>
    <w:rsid w:val="001E795B"/>
    <w:rsid w:val="001F4129"/>
    <w:rsid w:val="00204F74"/>
    <w:rsid w:val="00207A4A"/>
    <w:rsid w:val="002200DF"/>
    <w:rsid w:val="002336EB"/>
    <w:rsid w:val="00242284"/>
    <w:rsid w:val="00246663"/>
    <w:rsid w:val="00265285"/>
    <w:rsid w:val="002756CB"/>
    <w:rsid w:val="00275E48"/>
    <w:rsid w:val="0027720C"/>
    <w:rsid w:val="00282D04"/>
    <w:rsid w:val="00295559"/>
    <w:rsid w:val="002A2790"/>
    <w:rsid w:val="002A3ABE"/>
    <w:rsid w:val="002A6CB9"/>
    <w:rsid w:val="002B1D6B"/>
    <w:rsid w:val="002B2095"/>
    <w:rsid w:val="002B7566"/>
    <w:rsid w:val="002C0BB2"/>
    <w:rsid w:val="002D7493"/>
    <w:rsid w:val="002E660D"/>
    <w:rsid w:val="002E7CD2"/>
    <w:rsid w:val="002F6578"/>
    <w:rsid w:val="00301B88"/>
    <w:rsid w:val="003047BD"/>
    <w:rsid w:val="003258D6"/>
    <w:rsid w:val="0033332F"/>
    <w:rsid w:val="0033655B"/>
    <w:rsid w:val="00341698"/>
    <w:rsid w:val="003461B8"/>
    <w:rsid w:val="003571ED"/>
    <w:rsid w:val="00373F76"/>
    <w:rsid w:val="00383B83"/>
    <w:rsid w:val="003A1D9F"/>
    <w:rsid w:val="003A3766"/>
    <w:rsid w:val="003A55B8"/>
    <w:rsid w:val="003A561D"/>
    <w:rsid w:val="003B0D22"/>
    <w:rsid w:val="003B58C6"/>
    <w:rsid w:val="003B5AA4"/>
    <w:rsid w:val="003C00E7"/>
    <w:rsid w:val="003C3C5D"/>
    <w:rsid w:val="003C3F3D"/>
    <w:rsid w:val="003C7ED6"/>
    <w:rsid w:val="003F28CA"/>
    <w:rsid w:val="003F3002"/>
    <w:rsid w:val="004040DB"/>
    <w:rsid w:val="0041391E"/>
    <w:rsid w:val="00421E19"/>
    <w:rsid w:val="00425F7E"/>
    <w:rsid w:val="004331E0"/>
    <w:rsid w:val="004347DE"/>
    <w:rsid w:val="00437695"/>
    <w:rsid w:val="00457EDF"/>
    <w:rsid w:val="00461061"/>
    <w:rsid w:val="00464134"/>
    <w:rsid w:val="0047278E"/>
    <w:rsid w:val="00476C28"/>
    <w:rsid w:val="00477ECE"/>
    <w:rsid w:val="00480D5E"/>
    <w:rsid w:val="004816D4"/>
    <w:rsid w:val="00482FC4"/>
    <w:rsid w:val="00485CA3"/>
    <w:rsid w:val="004A5193"/>
    <w:rsid w:val="004A520F"/>
    <w:rsid w:val="004C5475"/>
    <w:rsid w:val="004D44C9"/>
    <w:rsid w:val="004E236C"/>
    <w:rsid w:val="004E3C5E"/>
    <w:rsid w:val="004E7C44"/>
    <w:rsid w:val="0051352D"/>
    <w:rsid w:val="0051366C"/>
    <w:rsid w:val="00515240"/>
    <w:rsid w:val="00534E69"/>
    <w:rsid w:val="00537BB2"/>
    <w:rsid w:val="00541DD5"/>
    <w:rsid w:val="00561229"/>
    <w:rsid w:val="00563193"/>
    <w:rsid w:val="00563A17"/>
    <w:rsid w:val="00575975"/>
    <w:rsid w:val="005847BB"/>
    <w:rsid w:val="00590698"/>
    <w:rsid w:val="00590EA3"/>
    <w:rsid w:val="005A10FF"/>
    <w:rsid w:val="005A427D"/>
    <w:rsid w:val="005A75EF"/>
    <w:rsid w:val="005B388F"/>
    <w:rsid w:val="005B6F93"/>
    <w:rsid w:val="005C7B4D"/>
    <w:rsid w:val="005D3443"/>
    <w:rsid w:val="005D5F63"/>
    <w:rsid w:val="005D6880"/>
    <w:rsid w:val="005E40C8"/>
    <w:rsid w:val="005F5E07"/>
    <w:rsid w:val="00600D94"/>
    <w:rsid w:val="006012A0"/>
    <w:rsid w:val="006020C8"/>
    <w:rsid w:val="006078E6"/>
    <w:rsid w:val="006136EB"/>
    <w:rsid w:val="006213E9"/>
    <w:rsid w:val="0062231E"/>
    <w:rsid w:val="0062414E"/>
    <w:rsid w:val="00625FED"/>
    <w:rsid w:val="00627887"/>
    <w:rsid w:val="00645953"/>
    <w:rsid w:val="00650DCC"/>
    <w:rsid w:val="00653091"/>
    <w:rsid w:val="006531CE"/>
    <w:rsid w:val="006646BE"/>
    <w:rsid w:val="00674160"/>
    <w:rsid w:val="0067796D"/>
    <w:rsid w:val="00677AA6"/>
    <w:rsid w:val="00683DF2"/>
    <w:rsid w:val="006901DF"/>
    <w:rsid w:val="00692E58"/>
    <w:rsid w:val="006A0E1F"/>
    <w:rsid w:val="006A360D"/>
    <w:rsid w:val="006A7047"/>
    <w:rsid w:val="006B36A9"/>
    <w:rsid w:val="006B467D"/>
    <w:rsid w:val="006D0BA3"/>
    <w:rsid w:val="006D791D"/>
    <w:rsid w:val="006E314E"/>
    <w:rsid w:val="006E60FB"/>
    <w:rsid w:val="006E70BC"/>
    <w:rsid w:val="006F17D1"/>
    <w:rsid w:val="006F4966"/>
    <w:rsid w:val="00704261"/>
    <w:rsid w:val="00704613"/>
    <w:rsid w:val="00705437"/>
    <w:rsid w:val="0073056D"/>
    <w:rsid w:val="007325BD"/>
    <w:rsid w:val="007374E5"/>
    <w:rsid w:val="00740D11"/>
    <w:rsid w:val="007418FC"/>
    <w:rsid w:val="00741C00"/>
    <w:rsid w:val="007502C2"/>
    <w:rsid w:val="007550F7"/>
    <w:rsid w:val="00757267"/>
    <w:rsid w:val="007639BD"/>
    <w:rsid w:val="007651EA"/>
    <w:rsid w:val="00765307"/>
    <w:rsid w:val="00767149"/>
    <w:rsid w:val="00777C5B"/>
    <w:rsid w:val="007919E8"/>
    <w:rsid w:val="0079585D"/>
    <w:rsid w:val="0079600E"/>
    <w:rsid w:val="007B6987"/>
    <w:rsid w:val="007B7FB8"/>
    <w:rsid w:val="007C250B"/>
    <w:rsid w:val="007E2F6E"/>
    <w:rsid w:val="007F70CA"/>
    <w:rsid w:val="008164AD"/>
    <w:rsid w:val="00820C40"/>
    <w:rsid w:val="00825331"/>
    <w:rsid w:val="00831D5F"/>
    <w:rsid w:val="00832F52"/>
    <w:rsid w:val="00833D8F"/>
    <w:rsid w:val="008348E2"/>
    <w:rsid w:val="00843E3F"/>
    <w:rsid w:val="00846D57"/>
    <w:rsid w:val="0084796C"/>
    <w:rsid w:val="0086723E"/>
    <w:rsid w:val="008735E2"/>
    <w:rsid w:val="008759C9"/>
    <w:rsid w:val="00882778"/>
    <w:rsid w:val="00883549"/>
    <w:rsid w:val="008A5C34"/>
    <w:rsid w:val="008B1E98"/>
    <w:rsid w:val="008B5679"/>
    <w:rsid w:val="008C02E6"/>
    <w:rsid w:val="008C33E8"/>
    <w:rsid w:val="008C725C"/>
    <w:rsid w:val="008D3ED0"/>
    <w:rsid w:val="008D5536"/>
    <w:rsid w:val="008D5866"/>
    <w:rsid w:val="008E1B2B"/>
    <w:rsid w:val="008F59EB"/>
    <w:rsid w:val="00901AEB"/>
    <w:rsid w:val="00902A5E"/>
    <w:rsid w:val="00904ADE"/>
    <w:rsid w:val="00911B11"/>
    <w:rsid w:val="00924EE1"/>
    <w:rsid w:val="0095017B"/>
    <w:rsid w:val="0095124A"/>
    <w:rsid w:val="00955525"/>
    <w:rsid w:val="0096277E"/>
    <w:rsid w:val="009873EB"/>
    <w:rsid w:val="009A641E"/>
    <w:rsid w:val="009A6954"/>
    <w:rsid w:val="009B12F2"/>
    <w:rsid w:val="009C372D"/>
    <w:rsid w:val="009C5183"/>
    <w:rsid w:val="009C7348"/>
    <w:rsid w:val="009D5BD8"/>
    <w:rsid w:val="009D635A"/>
    <w:rsid w:val="009E60CF"/>
    <w:rsid w:val="00A04AF8"/>
    <w:rsid w:val="00A07517"/>
    <w:rsid w:val="00A07FBB"/>
    <w:rsid w:val="00A1383D"/>
    <w:rsid w:val="00A26C62"/>
    <w:rsid w:val="00A3186F"/>
    <w:rsid w:val="00A3557C"/>
    <w:rsid w:val="00A65179"/>
    <w:rsid w:val="00A7398E"/>
    <w:rsid w:val="00A84AB3"/>
    <w:rsid w:val="00A87E8E"/>
    <w:rsid w:val="00A91BC4"/>
    <w:rsid w:val="00AB09C9"/>
    <w:rsid w:val="00AB17D7"/>
    <w:rsid w:val="00AB29EF"/>
    <w:rsid w:val="00AB4109"/>
    <w:rsid w:val="00AB7588"/>
    <w:rsid w:val="00AC3A76"/>
    <w:rsid w:val="00AD5726"/>
    <w:rsid w:val="00AE7076"/>
    <w:rsid w:val="00AE7382"/>
    <w:rsid w:val="00AF1285"/>
    <w:rsid w:val="00AF211A"/>
    <w:rsid w:val="00B015F8"/>
    <w:rsid w:val="00B03B0C"/>
    <w:rsid w:val="00B045F0"/>
    <w:rsid w:val="00B07D23"/>
    <w:rsid w:val="00B2155B"/>
    <w:rsid w:val="00B576B2"/>
    <w:rsid w:val="00B653CB"/>
    <w:rsid w:val="00B70541"/>
    <w:rsid w:val="00B714B1"/>
    <w:rsid w:val="00B756B9"/>
    <w:rsid w:val="00B80C24"/>
    <w:rsid w:val="00B90C0D"/>
    <w:rsid w:val="00B94D09"/>
    <w:rsid w:val="00BC4724"/>
    <w:rsid w:val="00BC672D"/>
    <w:rsid w:val="00BE2AB4"/>
    <w:rsid w:val="00BE2D9A"/>
    <w:rsid w:val="00BE50F3"/>
    <w:rsid w:val="00BF2D2B"/>
    <w:rsid w:val="00C02D14"/>
    <w:rsid w:val="00C249E3"/>
    <w:rsid w:val="00C365A4"/>
    <w:rsid w:val="00C36AC3"/>
    <w:rsid w:val="00C405EB"/>
    <w:rsid w:val="00C409F3"/>
    <w:rsid w:val="00C42CF5"/>
    <w:rsid w:val="00C646CC"/>
    <w:rsid w:val="00C72EAD"/>
    <w:rsid w:val="00C76401"/>
    <w:rsid w:val="00C84D99"/>
    <w:rsid w:val="00CA16B9"/>
    <w:rsid w:val="00CB7881"/>
    <w:rsid w:val="00CC175E"/>
    <w:rsid w:val="00CD0AD0"/>
    <w:rsid w:val="00CE0FAD"/>
    <w:rsid w:val="00CF6ADA"/>
    <w:rsid w:val="00D01292"/>
    <w:rsid w:val="00D044C1"/>
    <w:rsid w:val="00D054D6"/>
    <w:rsid w:val="00D35B90"/>
    <w:rsid w:val="00D54BDD"/>
    <w:rsid w:val="00D55F1C"/>
    <w:rsid w:val="00D66407"/>
    <w:rsid w:val="00D67077"/>
    <w:rsid w:val="00D71954"/>
    <w:rsid w:val="00D83062"/>
    <w:rsid w:val="00D929EE"/>
    <w:rsid w:val="00DB3D4D"/>
    <w:rsid w:val="00DC317B"/>
    <w:rsid w:val="00DD1D50"/>
    <w:rsid w:val="00DD3DD4"/>
    <w:rsid w:val="00DD4055"/>
    <w:rsid w:val="00E04393"/>
    <w:rsid w:val="00E0508A"/>
    <w:rsid w:val="00E1686D"/>
    <w:rsid w:val="00E171FD"/>
    <w:rsid w:val="00E26CEA"/>
    <w:rsid w:val="00E410E2"/>
    <w:rsid w:val="00E425EE"/>
    <w:rsid w:val="00E44E68"/>
    <w:rsid w:val="00E45571"/>
    <w:rsid w:val="00E52243"/>
    <w:rsid w:val="00E54DC5"/>
    <w:rsid w:val="00E55441"/>
    <w:rsid w:val="00E57CC2"/>
    <w:rsid w:val="00E70A61"/>
    <w:rsid w:val="00E75E02"/>
    <w:rsid w:val="00E81CE9"/>
    <w:rsid w:val="00E83BEF"/>
    <w:rsid w:val="00E85E8E"/>
    <w:rsid w:val="00E90194"/>
    <w:rsid w:val="00E91441"/>
    <w:rsid w:val="00E97AB4"/>
    <w:rsid w:val="00EA3C7D"/>
    <w:rsid w:val="00EA4FE9"/>
    <w:rsid w:val="00EA5A41"/>
    <w:rsid w:val="00EB3660"/>
    <w:rsid w:val="00EB633D"/>
    <w:rsid w:val="00EC0B21"/>
    <w:rsid w:val="00EC667D"/>
    <w:rsid w:val="00ED2CFA"/>
    <w:rsid w:val="00EE3D24"/>
    <w:rsid w:val="00EE7333"/>
    <w:rsid w:val="00EF13CD"/>
    <w:rsid w:val="00EF16FE"/>
    <w:rsid w:val="00F042D6"/>
    <w:rsid w:val="00F20BEB"/>
    <w:rsid w:val="00F517E8"/>
    <w:rsid w:val="00F5456C"/>
    <w:rsid w:val="00F60418"/>
    <w:rsid w:val="00F82D2E"/>
    <w:rsid w:val="00F87EFA"/>
    <w:rsid w:val="00F95E62"/>
    <w:rsid w:val="00FA45D2"/>
    <w:rsid w:val="00FA4F85"/>
    <w:rsid w:val="00FB1690"/>
    <w:rsid w:val="00FB7121"/>
    <w:rsid w:val="00FB74CC"/>
    <w:rsid w:val="00FC7871"/>
    <w:rsid w:val="00FC7FB6"/>
    <w:rsid w:val="00FD25C1"/>
    <w:rsid w:val="00FD3612"/>
    <w:rsid w:val="00FF4AAF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AD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D24"/>
  </w:style>
  <w:style w:type="paragraph" w:styleId="Pidipagina">
    <w:name w:val="footer"/>
    <w:basedOn w:val="Normale"/>
    <w:link w:val="Pidipagina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D24"/>
  </w:style>
  <w:style w:type="character" w:styleId="Rimandocommento">
    <w:name w:val="annotation reference"/>
    <w:basedOn w:val="Carpredefinitoparagrafo"/>
    <w:uiPriority w:val="99"/>
    <w:semiHidden/>
    <w:unhideWhenUsed/>
    <w:rsid w:val="00D6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70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AD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D24"/>
  </w:style>
  <w:style w:type="paragraph" w:styleId="Pidipagina">
    <w:name w:val="footer"/>
    <w:basedOn w:val="Normale"/>
    <w:link w:val="Pidipagina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D24"/>
  </w:style>
  <w:style w:type="character" w:styleId="Rimandocommento">
    <w:name w:val="annotation reference"/>
    <w:basedOn w:val="Carpredefinitoparagrafo"/>
    <w:uiPriority w:val="99"/>
    <w:semiHidden/>
    <w:unhideWhenUsed/>
    <w:rsid w:val="00D6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7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Dovico</dc:creator>
  <cp:lastModifiedBy>mike</cp:lastModifiedBy>
  <cp:revision>2</cp:revision>
  <cp:lastPrinted>2018-05-16T07:28:00Z</cp:lastPrinted>
  <dcterms:created xsi:type="dcterms:W3CDTF">2019-12-03T12:57:00Z</dcterms:created>
  <dcterms:modified xsi:type="dcterms:W3CDTF">2019-12-03T12:57:00Z</dcterms:modified>
</cp:coreProperties>
</file>